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E7" w:rsidRDefault="00852D54" w:rsidP="000000E7">
      <w:pPr>
        <w:pStyle w:val="Default"/>
        <w:jc w:val="center"/>
        <w:rPr>
          <w:sz w:val="36"/>
          <w:szCs w:val="36"/>
        </w:rPr>
      </w:pPr>
      <w:r>
        <w:rPr>
          <w:sz w:val="36"/>
          <w:szCs w:val="36"/>
        </w:rPr>
        <w:t>O</w:t>
      </w:r>
      <w:r w:rsidR="000000E7">
        <w:rPr>
          <w:sz w:val="36"/>
          <w:szCs w:val="36"/>
        </w:rPr>
        <w:t xml:space="preserve">RDINE FARMACISTI DELLA PROVINCIA </w:t>
      </w:r>
      <w:proofErr w:type="spellStart"/>
      <w:r w:rsidR="000000E7">
        <w:rPr>
          <w:sz w:val="36"/>
          <w:szCs w:val="36"/>
        </w:rPr>
        <w:t>DI</w:t>
      </w:r>
      <w:proofErr w:type="spellEnd"/>
      <w:r w:rsidR="000000E7">
        <w:rPr>
          <w:sz w:val="36"/>
          <w:szCs w:val="36"/>
        </w:rPr>
        <w:t xml:space="preserve"> LUCCA</w:t>
      </w:r>
    </w:p>
    <w:p w:rsidR="000000E7" w:rsidRDefault="000000E7" w:rsidP="000000E7">
      <w:pPr>
        <w:pStyle w:val="Default"/>
        <w:jc w:val="center"/>
        <w:rPr>
          <w:sz w:val="36"/>
          <w:szCs w:val="36"/>
        </w:rPr>
      </w:pPr>
    </w:p>
    <w:p w:rsidR="000000E7" w:rsidRPr="000000E7" w:rsidRDefault="000000E7" w:rsidP="000000E7">
      <w:pPr>
        <w:pStyle w:val="Default"/>
        <w:jc w:val="center"/>
        <w:rPr>
          <w:sz w:val="36"/>
          <w:szCs w:val="36"/>
        </w:rPr>
      </w:pPr>
      <w:r>
        <w:rPr>
          <w:sz w:val="36"/>
          <w:szCs w:val="36"/>
        </w:rPr>
        <w:t xml:space="preserve">“Piano triennale di prevenzione della corruzione e per la trasparenza e l’integrità amministrativa </w:t>
      </w:r>
      <w:r w:rsidR="00BD4220">
        <w:rPr>
          <w:sz w:val="36"/>
          <w:szCs w:val="36"/>
        </w:rPr>
        <w:t>2021-2023</w:t>
      </w:r>
      <w:r>
        <w:rPr>
          <w:sz w:val="36"/>
          <w:szCs w:val="36"/>
        </w:rPr>
        <w:t>”</w:t>
      </w:r>
    </w:p>
    <w:p w:rsidR="004065EB" w:rsidRDefault="004065EB" w:rsidP="000000E7">
      <w:pPr>
        <w:pStyle w:val="Default"/>
      </w:pPr>
    </w:p>
    <w:p w:rsidR="000000E7" w:rsidRDefault="000000E7" w:rsidP="000000E7">
      <w:pPr>
        <w:pStyle w:val="Default"/>
        <w:jc w:val="center"/>
      </w:pPr>
      <w:r>
        <w:t>Predisposto dal responsabile per la prevenzione dalla corruzione,</w:t>
      </w:r>
    </w:p>
    <w:p w:rsidR="000000E7" w:rsidRDefault="000000E7" w:rsidP="000000E7">
      <w:pPr>
        <w:pStyle w:val="Default"/>
        <w:jc w:val="center"/>
      </w:pPr>
      <w:r>
        <w:t>Dott.ssa Laura Moretti</w:t>
      </w:r>
    </w:p>
    <w:p w:rsidR="00852D54" w:rsidRDefault="000000E7" w:rsidP="000000E7">
      <w:pPr>
        <w:pStyle w:val="Default"/>
        <w:jc w:val="center"/>
      </w:pPr>
      <w:r>
        <w:t>Adottato in data</w:t>
      </w:r>
      <w:r w:rsidR="00852D54">
        <w:t xml:space="preserve"> 26/05/2021</w:t>
      </w:r>
    </w:p>
    <w:p w:rsidR="00D82EA0" w:rsidRDefault="000000E7" w:rsidP="000000E7">
      <w:pPr>
        <w:pStyle w:val="Default"/>
        <w:jc w:val="center"/>
      </w:pPr>
      <w:r>
        <w:t xml:space="preserve">Con deliberazione </w:t>
      </w:r>
      <w:r w:rsidR="00852D54">
        <w:t xml:space="preserve">n. </w:t>
      </w:r>
      <w:r>
        <w:t xml:space="preserve"> del Consiglio Direttivo e pubblicato sul sito nella sezione </w:t>
      </w:r>
    </w:p>
    <w:p w:rsidR="000000E7" w:rsidRPr="000C3F3F" w:rsidRDefault="000000E7" w:rsidP="000000E7">
      <w:pPr>
        <w:pStyle w:val="Default"/>
        <w:jc w:val="center"/>
        <w:rPr>
          <w:color w:val="DBE5F1" w:themeColor="accent1" w:themeTint="33"/>
        </w:rPr>
      </w:pPr>
      <w:r>
        <w:t>“Amministrazione trasparente”.</w:t>
      </w:r>
    </w:p>
    <w:p w:rsidR="00C26C9F" w:rsidRDefault="00C26C9F" w:rsidP="000000E7">
      <w:pPr>
        <w:pStyle w:val="Default"/>
        <w:jc w:val="center"/>
      </w:pPr>
    </w:p>
    <w:p w:rsidR="00F0344E" w:rsidRDefault="00F0344E" w:rsidP="000000E7">
      <w:pPr>
        <w:pStyle w:val="Default"/>
        <w:jc w:val="center"/>
      </w:pPr>
    </w:p>
    <w:p w:rsidR="00F0344E" w:rsidRDefault="00F0344E" w:rsidP="000000E7">
      <w:pPr>
        <w:pStyle w:val="Default"/>
        <w:jc w:val="center"/>
      </w:pPr>
    </w:p>
    <w:p w:rsidR="00C26C9F" w:rsidRPr="009723B4" w:rsidRDefault="00C26C9F" w:rsidP="00F0344E">
      <w:pPr>
        <w:pStyle w:val="Default"/>
        <w:rPr>
          <w:color w:val="auto"/>
          <w:sz w:val="28"/>
          <w:szCs w:val="28"/>
        </w:rPr>
      </w:pPr>
      <w:r w:rsidRPr="009723B4">
        <w:rPr>
          <w:color w:val="auto"/>
          <w:sz w:val="28"/>
          <w:szCs w:val="28"/>
        </w:rPr>
        <w:t>Introduzione</w:t>
      </w:r>
    </w:p>
    <w:p w:rsidR="00365D5A" w:rsidRDefault="00365D5A" w:rsidP="000000E7">
      <w:pPr>
        <w:pStyle w:val="Default"/>
        <w:jc w:val="center"/>
      </w:pPr>
    </w:p>
    <w:p w:rsidR="00221321" w:rsidRDefault="00221321" w:rsidP="000000E7">
      <w:pPr>
        <w:pStyle w:val="Default"/>
        <w:jc w:val="center"/>
      </w:pPr>
      <w:r>
        <w:t>Visti:</w:t>
      </w:r>
    </w:p>
    <w:p w:rsidR="00221321" w:rsidRDefault="00221321" w:rsidP="000000E7">
      <w:pPr>
        <w:pStyle w:val="Default"/>
        <w:jc w:val="center"/>
      </w:pPr>
    </w:p>
    <w:p w:rsidR="00365D5A" w:rsidRPr="00221321" w:rsidRDefault="00221321" w:rsidP="00365D5A">
      <w:pPr>
        <w:autoSpaceDE w:val="0"/>
        <w:autoSpaceDN w:val="0"/>
        <w:adjustRightInd w:val="0"/>
        <w:spacing w:after="0" w:line="240" w:lineRule="auto"/>
        <w:ind w:left="705" w:hanging="705"/>
        <w:jc w:val="both"/>
        <w:rPr>
          <w:rFonts w:ascii="Times New Roman" w:hAnsi="Times New Roman" w:cs="Times New Roman"/>
          <w:bCs/>
          <w:iCs/>
        </w:rPr>
      </w:pPr>
      <w:r>
        <w:rPr>
          <w:rFonts w:ascii="Times New Roman" w:hAnsi="Times New Roman" w:cs="Times New Roman"/>
          <w:bCs/>
          <w:iCs/>
        </w:rPr>
        <w:t xml:space="preserve">La </w:t>
      </w:r>
      <w:r w:rsidR="00365D5A" w:rsidRPr="00221321">
        <w:rPr>
          <w:rFonts w:ascii="Times New Roman" w:hAnsi="Times New Roman" w:cs="Times New Roman"/>
          <w:bCs/>
          <w:iCs/>
        </w:rPr>
        <w:t>Legge 6 novembre 2012, n. 190 recante “Disposizioni per la prevenzione e la repressione della corruzione e dell’illegalità nella Pubblica Amministrazione” (d’ora in poi per brevità “Legge Anti-Corruzione” oppure L. 190/2012).</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Decreto legislativo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 (d’ora in poi, per brevità, “Decreto Trasparenza” oppure D.lgs. 33/2013)</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Decreto legislativo 8 aprile 2013, n. 39 recante “</w:t>
      </w:r>
      <w:r w:rsidR="00A00133">
        <w:rPr>
          <w:rFonts w:ascii="Times New Roman" w:hAnsi="Times New Roman" w:cs="Times New Roman"/>
          <w:bCs/>
          <w:iCs/>
        </w:rPr>
        <w:t xml:space="preserve">Disposizioni in materia di </w:t>
      </w:r>
      <w:proofErr w:type="spellStart"/>
      <w:r w:rsidR="00A00133">
        <w:rPr>
          <w:rFonts w:ascii="Times New Roman" w:hAnsi="Times New Roman" w:cs="Times New Roman"/>
          <w:bCs/>
          <w:iCs/>
        </w:rPr>
        <w:t>incon</w:t>
      </w:r>
      <w:r w:rsidRPr="00221321">
        <w:rPr>
          <w:rFonts w:ascii="Times New Roman" w:hAnsi="Times New Roman" w:cs="Times New Roman"/>
          <w:bCs/>
          <w:iCs/>
        </w:rPr>
        <w:t>feribilità</w:t>
      </w:r>
      <w:proofErr w:type="spellEnd"/>
      <w:r w:rsidRPr="00221321">
        <w:rPr>
          <w:rFonts w:ascii="Times New Roman" w:hAnsi="Times New Roman" w:cs="Times New Roman"/>
          <w:bCs/>
          <w:iCs/>
        </w:rPr>
        <w:t xml:space="preserve"> e incompatibilità di incarichi presso le pubbliche amministrazioni e presso gli enti privati in controllo pubblico, a norma dell’articolo 1, comma 49 e 50, della legge 6 novembre 2012, n. 190 (d’ora in poi, per brevità “Decreto </w:t>
      </w:r>
      <w:proofErr w:type="spellStart"/>
      <w:r w:rsidRPr="00221321">
        <w:rPr>
          <w:rFonts w:ascii="Times New Roman" w:hAnsi="Times New Roman" w:cs="Times New Roman"/>
          <w:bCs/>
          <w:iCs/>
        </w:rPr>
        <w:t>inconferibilità</w:t>
      </w:r>
      <w:proofErr w:type="spellEnd"/>
      <w:r w:rsidRPr="00221321">
        <w:rPr>
          <w:rFonts w:ascii="Times New Roman" w:hAnsi="Times New Roman" w:cs="Times New Roman"/>
          <w:bCs/>
          <w:iCs/>
        </w:rPr>
        <w:t xml:space="preserve"> e incompatibilità”, oppure D.lgs. 39/2013)</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r>
      <w:proofErr w:type="spellStart"/>
      <w:r w:rsidRPr="00221321">
        <w:rPr>
          <w:rFonts w:ascii="Times New Roman" w:hAnsi="Times New Roman" w:cs="Times New Roman"/>
          <w:bCs/>
          <w:iCs/>
        </w:rPr>
        <w:t>D.Lgs.</w:t>
      </w:r>
      <w:proofErr w:type="spellEnd"/>
      <w:r w:rsidRPr="00221321">
        <w:rPr>
          <w:rFonts w:ascii="Times New Roman" w:hAnsi="Times New Roman" w:cs="Times New Roman"/>
          <w:bCs/>
          <w:iCs/>
        </w:rPr>
        <w:t xml:space="preserve"> C.P.S. 13 settembre 1946, n. 233 recante “Ricostituzione degli Ordini delle professioni sanitarie e per la disciplina dell'esercizio delle professioni stesse”</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D.P.R. 5 aprile 1950, n. 221, recante “Approvazione del regolamento per la esecuzione del decreto legislativo 13 settembre 1946, n. 233, sulla ricostituzione degli Ordini delle professioni sanitarie e per la disciplina dell'esercizio delle professioni stesse”.</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L. 11 gennaio 2018, n. 3 recante “Delega al Governo in materia di sperimentazione clinica di medicinali nonché disposizioni per il riordino delle professioni sanitarie e per la dirigenza del Ministero della salute”</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L. n. 179 del 30 novembre 2017, recante “Disposizioni per la tutela degli autori di segnalazioni di reati o irregolarità di cui siano venuti a conoscenza nell'ambito di un rapporto di lavoro pubblico o privato”</w:t>
      </w:r>
    </w:p>
    <w:p w:rsidR="00365D5A"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r>
      <w:proofErr w:type="spellStart"/>
      <w:r w:rsidRPr="00221321">
        <w:rPr>
          <w:rFonts w:ascii="Times New Roman" w:hAnsi="Times New Roman" w:cs="Times New Roman"/>
          <w:bCs/>
          <w:iCs/>
        </w:rPr>
        <w:t>DL</w:t>
      </w:r>
      <w:proofErr w:type="spellEnd"/>
      <w:r w:rsidRPr="00221321">
        <w:rPr>
          <w:rFonts w:ascii="Times New Roman" w:hAnsi="Times New Roman" w:cs="Times New Roman"/>
          <w:bCs/>
          <w:iCs/>
        </w:rPr>
        <w:t xml:space="preserve"> 31 agosto 2013, n. 101 recante “Disposizioni urgenti per il perseguimento di obiettivi di razionalizzazione delle pubbliche amministrazioni”, convertito dalla L. 30 ottobre 2013, n. 125, nelle parti relative agli ordini professionali (art. 2, </w:t>
      </w:r>
      <w:proofErr w:type="spellStart"/>
      <w:r w:rsidRPr="00221321">
        <w:rPr>
          <w:rFonts w:ascii="Times New Roman" w:hAnsi="Times New Roman" w:cs="Times New Roman"/>
          <w:bCs/>
          <w:iCs/>
        </w:rPr>
        <w:t>co</w:t>
      </w:r>
      <w:proofErr w:type="spellEnd"/>
      <w:r w:rsidRPr="00221321">
        <w:rPr>
          <w:rFonts w:ascii="Times New Roman" w:hAnsi="Times New Roman" w:cs="Times New Roman"/>
          <w:bCs/>
          <w:iCs/>
        </w:rPr>
        <w:t>. 2 e 2 bis)</w:t>
      </w:r>
    </w:p>
    <w:p w:rsidR="00A00133" w:rsidRDefault="00A00133" w:rsidP="00365D5A">
      <w:pPr>
        <w:autoSpaceDE w:val="0"/>
        <w:autoSpaceDN w:val="0"/>
        <w:adjustRightInd w:val="0"/>
        <w:spacing w:after="0" w:line="240" w:lineRule="auto"/>
        <w:ind w:left="705" w:hanging="705"/>
        <w:jc w:val="both"/>
        <w:rPr>
          <w:rFonts w:ascii="Times New Roman" w:hAnsi="Times New Roman" w:cs="Times New Roman"/>
          <w:bCs/>
          <w:iCs/>
        </w:rPr>
      </w:pPr>
    </w:p>
    <w:p w:rsidR="00A00133" w:rsidRDefault="00A00133" w:rsidP="00365D5A">
      <w:pPr>
        <w:autoSpaceDE w:val="0"/>
        <w:autoSpaceDN w:val="0"/>
        <w:adjustRightInd w:val="0"/>
        <w:spacing w:after="0" w:line="240" w:lineRule="auto"/>
        <w:ind w:left="705" w:hanging="705"/>
        <w:jc w:val="both"/>
        <w:rPr>
          <w:rFonts w:ascii="Times New Roman" w:hAnsi="Times New Roman" w:cs="Times New Roman"/>
          <w:bCs/>
          <w:iCs/>
        </w:rPr>
      </w:pPr>
    </w:p>
    <w:p w:rsidR="00A00133" w:rsidRDefault="00A00133" w:rsidP="00F0344E">
      <w:pPr>
        <w:autoSpaceDE w:val="0"/>
        <w:autoSpaceDN w:val="0"/>
        <w:adjustRightInd w:val="0"/>
        <w:spacing w:after="0" w:line="240" w:lineRule="auto"/>
        <w:jc w:val="both"/>
        <w:rPr>
          <w:rFonts w:ascii="Times New Roman" w:hAnsi="Times New Roman" w:cs="Times New Roman"/>
          <w:bCs/>
          <w:iCs/>
        </w:rPr>
      </w:pPr>
    </w:p>
    <w:p w:rsidR="00F0344E" w:rsidRDefault="00F0344E" w:rsidP="00F0344E">
      <w:pPr>
        <w:autoSpaceDE w:val="0"/>
        <w:autoSpaceDN w:val="0"/>
        <w:adjustRightInd w:val="0"/>
        <w:spacing w:after="0" w:line="240" w:lineRule="auto"/>
        <w:jc w:val="both"/>
        <w:rPr>
          <w:rFonts w:ascii="Times New Roman" w:hAnsi="Times New Roman" w:cs="Times New Roman"/>
          <w:bCs/>
          <w:iCs/>
        </w:rPr>
      </w:pPr>
    </w:p>
    <w:p w:rsidR="00A00133" w:rsidRPr="00221321" w:rsidRDefault="00A00133" w:rsidP="00365D5A">
      <w:pPr>
        <w:autoSpaceDE w:val="0"/>
        <w:autoSpaceDN w:val="0"/>
        <w:adjustRightInd w:val="0"/>
        <w:spacing w:after="0" w:line="240" w:lineRule="auto"/>
        <w:ind w:left="705" w:hanging="705"/>
        <w:jc w:val="both"/>
        <w:rPr>
          <w:rFonts w:ascii="Times New Roman" w:hAnsi="Times New Roman" w:cs="Times New Roman"/>
          <w:bCs/>
          <w:iCs/>
        </w:rPr>
      </w:pPr>
    </w:p>
    <w:p w:rsidR="00365D5A" w:rsidRPr="00221321" w:rsidRDefault="00365D5A" w:rsidP="00365D5A">
      <w:pPr>
        <w:autoSpaceDE w:val="0"/>
        <w:autoSpaceDN w:val="0"/>
        <w:adjustRightInd w:val="0"/>
        <w:spacing w:after="0" w:line="240" w:lineRule="auto"/>
        <w:jc w:val="both"/>
        <w:rPr>
          <w:rFonts w:ascii="Times New Roman" w:hAnsi="Times New Roman" w:cs="Times New Roman"/>
          <w:bCs/>
          <w:iCs/>
        </w:rPr>
      </w:pPr>
    </w:p>
    <w:p w:rsidR="00365D5A" w:rsidRDefault="00365D5A" w:rsidP="00365D5A">
      <w:pPr>
        <w:autoSpaceDE w:val="0"/>
        <w:autoSpaceDN w:val="0"/>
        <w:adjustRightInd w:val="0"/>
        <w:spacing w:after="0" w:line="240" w:lineRule="auto"/>
        <w:jc w:val="both"/>
        <w:rPr>
          <w:rFonts w:ascii="Times New Roman" w:hAnsi="Times New Roman" w:cs="Times New Roman"/>
          <w:bCs/>
          <w:iCs/>
        </w:rPr>
      </w:pPr>
      <w:r w:rsidRPr="00221321">
        <w:rPr>
          <w:rFonts w:ascii="Times New Roman" w:hAnsi="Times New Roman" w:cs="Times New Roman"/>
          <w:bCs/>
          <w:iCs/>
        </w:rPr>
        <w:lastRenderedPageBreak/>
        <w:t>Ed in conformità alla seguente regolamentazione:</w:t>
      </w:r>
    </w:p>
    <w:p w:rsidR="00F0344E" w:rsidRDefault="00F0344E" w:rsidP="00365D5A">
      <w:pPr>
        <w:autoSpaceDE w:val="0"/>
        <w:autoSpaceDN w:val="0"/>
        <w:adjustRightInd w:val="0"/>
        <w:spacing w:after="0" w:line="240" w:lineRule="auto"/>
        <w:jc w:val="both"/>
        <w:rPr>
          <w:rFonts w:ascii="Times New Roman" w:hAnsi="Times New Roman" w:cs="Times New Roman"/>
          <w:bCs/>
          <w:iCs/>
        </w:rPr>
      </w:pPr>
    </w:p>
    <w:p w:rsidR="00F0344E" w:rsidRDefault="00F0344E" w:rsidP="00365D5A">
      <w:pPr>
        <w:autoSpaceDE w:val="0"/>
        <w:autoSpaceDN w:val="0"/>
        <w:adjustRightInd w:val="0"/>
        <w:spacing w:after="0" w:line="240" w:lineRule="auto"/>
        <w:jc w:val="both"/>
        <w:rPr>
          <w:rFonts w:ascii="Times New Roman" w:hAnsi="Times New Roman" w:cs="Times New Roman"/>
          <w:bCs/>
          <w:iCs/>
        </w:rPr>
      </w:pPr>
    </w:p>
    <w:p w:rsidR="00221321" w:rsidRPr="00221321" w:rsidRDefault="00221321" w:rsidP="00365D5A">
      <w:pPr>
        <w:autoSpaceDE w:val="0"/>
        <w:autoSpaceDN w:val="0"/>
        <w:adjustRightInd w:val="0"/>
        <w:spacing w:after="0" w:line="240" w:lineRule="auto"/>
        <w:jc w:val="both"/>
        <w:rPr>
          <w:rFonts w:ascii="Times New Roman" w:hAnsi="Times New Roman" w:cs="Times New Roman"/>
          <w:bCs/>
          <w:iCs/>
        </w:rPr>
      </w:pP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Delibera ANAC (già CIVIT) n. 72 dell'11 settembre 2013 con cui è stato approvato il Piano Nazionale Anticorruzione (d’ora in poi per brevità PNA);</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Determinazione ANAC n. 12 del 28 ottobre 2015 “Aggiornamento 2015 al PNA” (per brevità Aggiornamento PNA 2015)</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Delibera ANAC n. 831 del 3 agosto 2016 “Determinazione di approvazione definitiva del Piano Nazionale Anticorruzione 2016” (per brevità PNA 2016)</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 xml:space="preserve">Delibera ANAC n. 1310 del 28 dicembre 2016 “Prime linee guida recanti indicazione sull’attuazione degli obblighi di pubblicità, trasparenza e diffusione di informazioni contenute nel </w:t>
      </w:r>
      <w:proofErr w:type="spellStart"/>
      <w:r w:rsidRPr="00221321">
        <w:rPr>
          <w:rFonts w:ascii="Times New Roman" w:hAnsi="Times New Roman" w:cs="Times New Roman"/>
          <w:bCs/>
          <w:iCs/>
        </w:rPr>
        <w:t>D.Lgs</w:t>
      </w:r>
      <w:proofErr w:type="spellEnd"/>
      <w:r w:rsidRPr="00221321">
        <w:rPr>
          <w:rFonts w:ascii="Times New Roman" w:hAnsi="Times New Roman" w:cs="Times New Roman"/>
          <w:bCs/>
          <w:iCs/>
        </w:rPr>
        <w:t xml:space="preserve"> 33/2013”</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 xml:space="preserve">Delibera ANAC n. 1309 del 28 dicembre 2016 “Linee Guida recanti indicazioni operative ai fini della definizione delle esclusioni e dei limiti all’accesso civico di cui all’art. 5, </w:t>
      </w:r>
      <w:proofErr w:type="spellStart"/>
      <w:r w:rsidRPr="00221321">
        <w:rPr>
          <w:rFonts w:ascii="Times New Roman" w:hAnsi="Times New Roman" w:cs="Times New Roman"/>
          <w:bCs/>
          <w:iCs/>
        </w:rPr>
        <w:t>co</w:t>
      </w:r>
      <w:proofErr w:type="spellEnd"/>
      <w:r w:rsidRPr="00221321">
        <w:rPr>
          <w:rFonts w:ascii="Times New Roman" w:hAnsi="Times New Roman" w:cs="Times New Roman"/>
          <w:bCs/>
          <w:iCs/>
        </w:rPr>
        <w:t xml:space="preserve">. 2 del </w:t>
      </w:r>
      <w:proofErr w:type="spellStart"/>
      <w:r w:rsidRPr="00221321">
        <w:rPr>
          <w:rFonts w:ascii="Times New Roman" w:hAnsi="Times New Roman" w:cs="Times New Roman"/>
          <w:bCs/>
          <w:iCs/>
        </w:rPr>
        <w:t>D.Lgs.</w:t>
      </w:r>
      <w:proofErr w:type="spellEnd"/>
      <w:r w:rsidRPr="00221321">
        <w:rPr>
          <w:rFonts w:ascii="Times New Roman" w:hAnsi="Times New Roman" w:cs="Times New Roman"/>
          <w:bCs/>
          <w:iCs/>
        </w:rPr>
        <w:t xml:space="preserve"> 33/2013</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Delibera ANAC n. 241 dell’8 marzo 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Circolare n. 2/2017 del Ministro per la semplificazione e la Pubblica Amministrazione: “Attuazione delle norme sull’accesso civico generalizzato (c.d. FOIA)”</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Determinazione n. 1134 del 8/11/2017 “Nuove linee guida per l’attuazione della normativa in materia di prevenzione   della corruzione e trasparenza da parte delle società e degli enti di   diritto privato controllati e partecipati dalle pubbliche amministrazioni e degli enti pubblici economici”</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Comunicato del Presidente ANAC del 28 giugno 2017, avente ad oggetto: chiarimenti in ordine alla disciplina applicabile agli Ordini professionali in materia di contratti pubblici</w:t>
      </w:r>
    </w:p>
    <w:p w:rsidR="00365D5A" w:rsidRPr="00221321" w:rsidRDefault="00365D5A" w:rsidP="00365D5A">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Delibera ANAC n. 1208 del 22 novembre 2017 - Approvazione definitiva dell’Aggiornamento 2017 al Piano Nazionale Anticorruzione</w:t>
      </w:r>
    </w:p>
    <w:p w:rsidR="00A00133" w:rsidRDefault="00365D5A" w:rsidP="009723B4">
      <w:pPr>
        <w:autoSpaceDE w:val="0"/>
        <w:autoSpaceDN w:val="0"/>
        <w:adjustRightInd w:val="0"/>
        <w:spacing w:after="0" w:line="240" w:lineRule="auto"/>
        <w:ind w:left="705" w:hanging="705"/>
        <w:jc w:val="both"/>
        <w:rPr>
          <w:rFonts w:ascii="Times New Roman" w:hAnsi="Times New Roman" w:cs="Times New Roman"/>
          <w:bCs/>
          <w:iCs/>
        </w:rPr>
      </w:pPr>
      <w:r w:rsidRPr="00221321">
        <w:rPr>
          <w:rFonts w:ascii="Times New Roman" w:hAnsi="Times New Roman" w:cs="Times New Roman"/>
          <w:bCs/>
          <w:iCs/>
        </w:rPr>
        <w:t>•</w:t>
      </w:r>
      <w:r w:rsidRPr="00221321">
        <w:rPr>
          <w:rFonts w:ascii="Times New Roman" w:hAnsi="Times New Roman" w:cs="Times New Roman"/>
          <w:bCs/>
          <w:iCs/>
        </w:rPr>
        <w:tab/>
        <w:t>Delibera ANAC n. 1074/2018 “Approvazione definitiva dell’Aggiornamento 2018 al Piano Nazionale Anticorruzione”</w:t>
      </w:r>
    </w:p>
    <w:p w:rsidR="00A00133" w:rsidRDefault="00A00133" w:rsidP="00A00133">
      <w:pPr>
        <w:autoSpaceDE w:val="0"/>
        <w:autoSpaceDN w:val="0"/>
        <w:adjustRightInd w:val="0"/>
        <w:spacing w:after="0" w:line="240" w:lineRule="auto"/>
        <w:ind w:left="705" w:hanging="705"/>
        <w:jc w:val="both"/>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Cs/>
          <w:iCs/>
        </w:rPr>
        <w:tab/>
        <w:t>Delibera ANAC n. 1064/2019</w:t>
      </w:r>
      <w:r w:rsidRPr="00221321">
        <w:rPr>
          <w:rFonts w:ascii="Times New Roman" w:hAnsi="Times New Roman" w:cs="Times New Roman"/>
          <w:bCs/>
          <w:iCs/>
        </w:rPr>
        <w:t xml:space="preserve"> “Approvazione </w:t>
      </w:r>
      <w:r w:rsidR="00494A06">
        <w:rPr>
          <w:rFonts w:ascii="Times New Roman" w:hAnsi="Times New Roman" w:cs="Times New Roman"/>
          <w:bCs/>
          <w:iCs/>
        </w:rPr>
        <w:t>del</w:t>
      </w:r>
      <w:r w:rsidRPr="00221321">
        <w:rPr>
          <w:rFonts w:ascii="Times New Roman" w:hAnsi="Times New Roman" w:cs="Times New Roman"/>
          <w:bCs/>
          <w:iCs/>
        </w:rPr>
        <w:t xml:space="preserve"> Piano Nazionale Anticorruzione</w:t>
      </w:r>
      <w:r w:rsidR="00494A06">
        <w:rPr>
          <w:rFonts w:ascii="Times New Roman" w:hAnsi="Times New Roman" w:cs="Times New Roman"/>
          <w:bCs/>
          <w:iCs/>
        </w:rPr>
        <w:t xml:space="preserve"> 2019 </w:t>
      </w:r>
      <w:r w:rsidRPr="00221321">
        <w:rPr>
          <w:rFonts w:ascii="Times New Roman" w:hAnsi="Times New Roman" w:cs="Times New Roman"/>
          <w:bCs/>
          <w:iCs/>
        </w:rPr>
        <w:t>”</w:t>
      </w:r>
    </w:p>
    <w:p w:rsidR="00A00133" w:rsidRDefault="00A00133" w:rsidP="00A00133">
      <w:pPr>
        <w:autoSpaceDE w:val="0"/>
        <w:autoSpaceDN w:val="0"/>
        <w:adjustRightInd w:val="0"/>
        <w:spacing w:after="0" w:line="240" w:lineRule="auto"/>
        <w:jc w:val="both"/>
        <w:rPr>
          <w:rFonts w:ascii="Times New Roman" w:hAnsi="Times New Roman" w:cs="Times New Roman"/>
          <w:bCs/>
          <w:iCs/>
        </w:rPr>
      </w:pPr>
    </w:p>
    <w:p w:rsidR="00A00133" w:rsidRDefault="00A00133" w:rsidP="00365D5A">
      <w:pPr>
        <w:autoSpaceDE w:val="0"/>
        <w:autoSpaceDN w:val="0"/>
        <w:adjustRightInd w:val="0"/>
        <w:spacing w:after="0" w:line="240" w:lineRule="auto"/>
        <w:ind w:left="705" w:hanging="705"/>
        <w:jc w:val="both"/>
        <w:rPr>
          <w:rFonts w:ascii="Times New Roman" w:hAnsi="Times New Roman" w:cs="Times New Roman"/>
          <w:bCs/>
          <w:iCs/>
        </w:rPr>
      </w:pPr>
      <w:r>
        <w:rPr>
          <w:rFonts w:ascii="Times New Roman" w:hAnsi="Times New Roman" w:cs="Times New Roman"/>
          <w:bCs/>
          <w:iCs/>
        </w:rPr>
        <w:tab/>
      </w:r>
    </w:p>
    <w:p w:rsidR="00A00133" w:rsidRDefault="00A00133" w:rsidP="00365D5A">
      <w:pPr>
        <w:autoSpaceDE w:val="0"/>
        <w:autoSpaceDN w:val="0"/>
        <w:adjustRightInd w:val="0"/>
        <w:spacing w:after="0" w:line="240" w:lineRule="auto"/>
        <w:ind w:left="705" w:hanging="705"/>
        <w:jc w:val="both"/>
        <w:rPr>
          <w:rFonts w:ascii="Times New Roman" w:hAnsi="Times New Roman" w:cs="Times New Roman"/>
          <w:bCs/>
          <w:iCs/>
        </w:rPr>
      </w:pPr>
    </w:p>
    <w:p w:rsidR="00221321" w:rsidRPr="00221321" w:rsidRDefault="00221321" w:rsidP="00365D5A">
      <w:pPr>
        <w:autoSpaceDE w:val="0"/>
        <w:autoSpaceDN w:val="0"/>
        <w:adjustRightInd w:val="0"/>
        <w:spacing w:after="0" w:line="240" w:lineRule="auto"/>
        <w:ind w:left="705" w:hanging="705"/>
        <w:jc w:val="both"/>
        <w:rPr>
          <w:rFonts w:ascii="Times New Roman" w:hAnsi="Times New Roman" w:cs="Times New Roman"/>
          <w:bCs/>
          <w:iCs/>
        </w:rPr>
      </w:pPr>
    </w:p>
    <w:p w:rsidR="00365D5A" w:rsidRPr="00221321" w:rsidRDefault="00221321" w:rsidP="00221321">
      <w:pPr>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 xml:space="preserve">Ed </w:t>
      </w:r>
    </w:p>
    <w:p w:rsidR="00D862D2" w:rsidRDefault="00D862D2" w:rsidP="000000E7">
      <w:pPr>
        <w:pStyle w:val="Default"/>
        <w:jc w:val="center"/>
      </w:pPr>
    </w:p>
    <w:p w:rsidR="00FD2799" w:rsidRDefault="00221321" w:rsidP="00221321">
      <w:pPr>
        <w:pStyle w:val="Default"/>
        <w:ind w:left="360"/>
        <w:rPr>
          <w:sz w:val="23"/>
          <w:szCs w:val="23"/>
        </w:rPr>
      </w:pPr>
      <w:r>
        <w:rPr>
          <w:sz w:val="23"/>
          <w:szCs w:val="23"/>
        </w:rPr>
        <w:t xml:space="preserve">In conformità </w:t>
      </w:r>
      <w:r w:rsidR="00FD2799">
        <w:rPr>
          <w:sz w:val="23"/>
          <w:szCs w:val="23"/>
        </w:rPr>
        <w:t>con il Piano Nazionale Anticorruzione (PNA</w:t>
      </w:r>
      <w:r w:rsidR="00852D54">
        <w:rPr>
          <w:sz w:val="23"/>
          <w:szCs w:val="23"/>
        </w:rPr>
        <w:t>) 2021</w:t>
      </w:r>
      <w:r w:rsidR="00FD2799">
        <w:rPr>
          <w:sz w:val="23"/>
          <w:szCs w:val="23"/>
        </w:rPr>
        <w:t xml:space="preserve"> ed in linea di continuità con le disposizioni già contenute nel precedent</w:t>
      </w:r>
      <w:r w:rsidR="00A00133">
        <w:rPr>
          <w:sz w:val="23"/>
          <w:szCs w:val="23"/>
        </w:rPr>
        <w:t xml:space="preserve">e documento per il triennio </w:t>
      </w:r>
      <w:r w:rsidR="00A00133" w:rsidRPr="00BD4220">
        <w:rPr>
          <w:sz w:val="23"/>
          <w:szCs w:val="23"/>
        </w:rPr>
        <w:t>2019/2021</w:t>
      </w:r>
      <w:r w:rsidR="00FD2799">
        <w:rPr>
          <w:sz w:val="23"/>
          <w:szCs w:val="23"/>
        </w:rPr>
        <w:t xml:space="preserve"> deliberato</w:t>
      </w:r>
      <w:r w:rsidR="00C26C9F" w:rsidRPr="00FD2799">
        <w:rPr>
          <w:sz w:val="23"/>
          <w:szCs w:val="23"/>
        </w:rPr>
        <w:t xml:space="preserve"> dal consiglio</w:t>
      </w:r>
      <w:r w:rsidR="00FD2799">
        <w:rPr>
          <w:sz w:val="23"/>
          <w:szCs w:val="23"/>
        </w:rPr>
        <w:t xml:space="preserve"> dell’Ordine in data</w:t>
      </w:r>
      <w:r w:rsidR="00A00133">
        <w:rPr>
          <w:sz w:val="23"/>
          <w:szCs w:val="23"/>
        </w:rPr>
        <w:t xml:space="preserve"> 25/01/2019 con deliberazione n°21</w:t>
      </w:r>
      <w:r w:rsidR="00FD2799">
        <w:rPr>
          <w:sz w:val="23"/>
          <w:szCs w:val="23"/>
        </w:rPr>
        <w:t xml:space="preserve"> che individuava nel</w:t>
      </w:r>
      <w:r w:rsidR="00494A06">
        <w:rPr>
          <w:sz w:val="23"/>
          <w:szCs w:val="23"/>
        </w:rPr>
        <w:t>la  Dott.ssa Laura Moretti</w:t>
      </w:r>
      <w:r w:rsidR="00A00133">
        <w:rPr>
          <w:sz w:val="23"/>
          <w:szCs w:val="23"/>
        </w:rPr>
        <w:t xml:space="preserve"> la </w:t>
      </w:r>
      <w:r w:rsidR="00FD2799">
        <w:rPr>
          <w:sz w:val="23"/>
          <w:szCs w:val="23"/>
        </w:rPr>
        <w:t>responsabile per la prevenzione della corruzione e la trasparenza</w:t>
      </w:r>
      <w:r w:rsidR="00B33658">
        <w:rPr>
          <w:sz w:val="23"/>
          <w:szCs w:val="23"/>
        </w:rPr>
        <w:t>.</w:t>
      </w:r>
    </w:p>
    <w:p w:rsidR="00221321" w:rsidRDefault="00221321"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9723B4" w:rsidRDefault="009723B4"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F0344E" w:rsidRDefault="00F0344E" w:rsidP="00221321">
      <w:pPr>
        <w:pStyle w:val="Default"/>
        <w:ind w:left="360"/>
        <w:rPr>
          <w:sz w:val="23"/>
          <w:szCs w:val="23"/>
        </w:rPr>
      </w:pPr>
    </w:p>
    <w:p w:rsidR="00C26C9F" w:rsidRPr="0049467D" w:rsidRDefault="00653BBA" w:rsidP="00F0344E">
      <w:pPr>
        <w:pStyle w:val="Default"/>
        <w:rPr>
          <w:color w:val="auto"/>
          <w:sz w:val="28"/>
          <w:szCs w:val="28"/>
        </w:rPr>
      </w:pPr>
      <w:r w:rsidRPr="0049467D">
        <w:rPr>
          <w:color w:val="auto"/>
          <w:sz w:val="28"/>
          <w:szCs w:val="28"/>
        </w:rPr>
        <w:lastRenderedPageBreak/>
        <w:t>Contenuti</w:t>
      </w:r>
    </w:p>
    <w:p w:rsidR="00060485" w:rsidRDefault="00060485" w:rsidP="00653BBA">
      <w:pPr>
        <w:pStyle w:val="Default"/>
        <w:jc w:val="center"/>
      </w:pPr>
    </w:p>
    <w:p w:rsidR="00060485" w:rsidRDefault="00060485" w:rsidP="00653BBA">
      <w:pPr>
        <w:pStyle w:val="Default"/>
      </w:pPr>
      <w:r>
        <w:t>Il Consiglio Direttivo dell’Ordine , in assenza della figura di un dirigente dell’Ente e annoverando nell’organigramma un solo dipendente, con Delibera n°</w:t>
      </w:r>
      <w:r w:rsidR="00852D54">
        <w:t xml:space="preserve">17 del 19/05/2021 </w:t>
      </w:r>
      <w:r>
        <w:t xml:space="preserve"> nomina </w:t>
      </w:r>
      <w:r w:rsidR="00852D54">
        <w:t xml:space="preserve"> il</w:t>
      </w:r>
      <w:r>
        <w:t xml:space="preserve"> consigliere senza deleghe, la Dott.ssa Laura Moretti, visti la competenza professionale</w:t>
      </w:r>
      <w:r w:rsidR="003958C7">
        <w:t>,</w:t>
      </w:r>
      <w:r>
        <w:t xml:space="preserve"> l’integrità e l’assenza di pendenze penali a suo carico, quale  Responsabile della Prevenzione della Corruzione  e per la Trasparenza Amministrativa (RPCT) </w:t>
      </w:r>
    </w:p>
    <w:p w:rsidR="00653BBA" w:rsidRDefault="00653BBA" w:rsidP="00653BBA">
      <w:pPr>
        <w:pStyle w:val="Default"/>
      </w:pPr>
      <w:r>
        <w:t>Il presente Piano è stato redatto dal RPCT in collaborazione con il Presidente dell’Ordine</w:t>
      </w:r>
      <w:r w:rsidR="00CC3814">
        <w:t xml:space="preserve">, </w:t>
      </w:r>
      <w:r w:rsidR="00586C0E">
        <w:t xml:space="preserve">senza coinvolgere soggetti esterni, </w:t>
      </w:r>
      <w:r w:rsidR="00CC3814">
        <w:t>approvato dal Consiglio dell’Ordine con delibera n</w:t>
      </w:r>
      <w:r w:rsidR="00852D54">
        <w:t>. 19 del 26/05/2021</w:t>
      </w:r>
      <w:r w:rsidR="00CC3814">
        <w:t xml:space="preserve"> e pubblicato sul sito internet istituzionale nella sezione “ Amministrazione Trasparente”.</w:t>
      </w:r>
    </w:p>
    <w:p w:rsidR="00F0344E" w:rsidRDefault="00F0344E" w:rsidP="00653BBA">
      <w:pPr>
        <w:pStyle w:val="Default"/>
      </w:pPr>
    </w:p>
    <w:p w:rsidR="00C4177D" w:rsidRDefault="00060485" w:rsidP="00C4177D">
      <w:pPr>
        <w:pStyle w:val="Default"/>
      </w:pPr>
      <w:r>
        <w:t>Il piano vuole fornire un insieme di strumenti in grado di individuare le aree maggiormente esposte al rischio di corruzione e le misur</w:t>
      </w:r>
      <w:r w:rsidR="00C4177D">
        <w:t>e volte alla riduzione di tali rischi.</w:t>
      </w:r>
    </w:p>
    <w:p w:rsidR="008703BA" w:rsidRDefault="00481055" w:rsidP="00F0344E">
      <w:pPr>
        <w:pStyle w:val="Default"/>
      </w:pPr>
      <w:r>
        <w:t>C</w:t>
      </w:r>
      <w:r w:rsidR="006574BB">
        <w:t xml:space="preserve">ontiene in oltre il Programma triennale per la Trasparenza inteso come accessibilità civica alle informazioni concernenti l’organizzazione e l’attività dell’Ente.  </w:t>
      </w:r>
    </w:p>
    <w:p w:rsidR="007C3073" w:rsidRDefault="007C3073" w:rsidP="00F0344E">
      <w:pPr>
        <w:pStyle w:val="Default"/>
      </w:pPr>
    </w:p>
    <w:p w:rsidR="007C3073" w:rsidRPr="007C3073" w:rsidRDefault="007C3073" w:rsidP="00F0344E">
      <w:pPr>
        <w:pStyle w:val="Default"/>
        <w:rPr>
          <w:color w:val="auto"/>
        </w:rPr>
      </w:pPr>
      <w:r w:rsidRPr="007C3073">
        <w:rPr>
          <w:color w:val="auto"/>
        </w:rPr>
        <w:t>I dati personali pubblicati in questa sezione sono riutilizzabili solo alle condizioni previste dalla normativa vigente sul riuso dei dati pubblici (direttiva comunitaria 2003/98/CE e d.lgs. 36/2006 di recepimento della stessa), e nel rispetto della normativa in materia di protezione dei dati personali (</w:t>
      </w:r>
      <w:proofErr w:type="spellStart"/>
      <w:r w:rsidRPr="007C3073">
        <w:rPr>
          <w:color w:val="auto"/>
        </w:rPr>
        <w:t>d.lgs</w:t>
      </w:r>
      <w:proofErr w:type="spellEnd"/>
      <w:r w:rsidRPr="007C3073">
        <w:rPr>
          <w:color w:val="auto"/>
        </w:rPr>
        <w:t xml:space="preserve"> 196/03 e Regolamento UE 2016/679 - GDPR - </w:t>
      </w:r>
      <w:proofErr w:type="spellStart"/>
      <w:r w:rsidRPr="007C3073">
        <w:rPr>
          <w:color w:val="auto"/>
        </w:rPr>
        <w:t>General</w:t>
      </w:r>
      <w:proofErr w:type="spellEnd"/>
      <w:r w:rsidRPr="007C3073">
        <w:rPr>
          <w:color w:val="auto"/>
        </w:rPr>
        <w:t xml:space="preserve"> Data </w:t>
      </w:r>
      <w:proofErr w:type="spellStart"/>
      <w:r w:rsidRPr="007C3073">
        <w:rPr>
          <w:color w:val="auto"/>
        </w:rPr>
        <w:t>ProtectionRegulation</w:t>
      </w:r>
      <w:proofErr w:type="spellEnd"/>
      <w:r w:rsidRPr="007C3073">
        <w:rPr>
          <w:color w:val="auto"/>
        </w:rPr>
        <w:t>).</w:t>
      </w:r>
    </w:p>
    <w:p w:rsidR="00F0344E" w:rsidRPr="007C3073" w:rsidRDefault="00F0344E" w:rsidP="00F0344E">
      <w:pPr>
        <w:pStyle w:val="Default"/>
        <w:rPr>
          <w:color w:val="auto"/>
        </w:rPr>
      </w:pPr>
    </w:p>
    <w:p w:rsidR="008703BA" w:rsidRPr="007C3073" w:rsidRDefault="008703BA" w:rsidP="00FF118E">
      <w:pPr>
        <w:pStyle w:val="Default"/>
        <w:jc w:val="center"/>
        <w:rPr>
          <w:color w:val="auto"/>
        </w:rPr>
      </w:pPr>
    </w:p>
    <w:p w:rsidR="00D60417" w:rsidRPr="0049467D" w:rsidRDefault="00F0344E" w:rsidP="00D60417">
      <w:pPr>
        <w:pStyle w:val="Default"/>
        <w:rPr>
          <w:sz w:val="28"/>
          <w:szCs w:val="28"/>
        </w:rPr>
      </w:pPr>
      <w:r w:rsidRPr="0049467D">
        <w:rPr>
          <w:sz w:val="28"/>
          <w:szCs w:val="28"/>
        </w:rPr>
        <w:t>Contesto di riferimento</w:t>
      </w:r>
    </w:p>
    <w:p w:rsidR="00F0344E" w:rsidRDefault="00F0344E" w:rsidP="00D60417">
      <w:pPr>
        <w:pStyle w:val="Default"/>
        <w:rPr>
          <w:sz w:val="23"/>
          <w:szCs w:val="23"/>
        </w:rPr>
      </w:pPr>
    </w:p>
    <w:p w:rsidR="00D60417" w:rsidRDefault="00D60417" w:rsidP="00D60417">
      <w:pPr>
        <w:pStyle w:val="Default"/>
        <w:rPr>
          <w:sz w:val="23"/>
          <w:szCs w:val="23"/>
        </w:rPr>
      </w:pPr>
      <w:r>
        <w:rPr>
          <w:sz w:val="23"/>
          <w:szCs w:val="23"/>
        </w:rPr>
        <w:t>Per le caratteristiche peculiari del nostro Ordine si tengono presenti i seguenti fattori:</w:t>
      </w:r>
    </w:p>
    <w:p w:rsidR="00D60417" w:rsidRDefault="00D60417" w:rsidP="00D60417">
      <w:pPr>
        <w:pStyle w:val="Default"/>
        <w:rPr>
          <w:sz w:val="23"/>
          <w:szCs w:val="23"/>
        </w:rPr>
      </w:pPr>
    </w:p>
    <w:p w:rsidR="00D60417" w:rsidRDefault="00D60417" w:rsidP="00D60417">
      <w:pPr>
        <w:pStyle w:val="Default"/>
        <w:rPr>
          <w:sz w:val="23"/>
          <w:szCs w:val="23"/>
        </w:rPr>
      </w:pPr>
    </w:p>
    <w:p w:rsidR="00D60417" w:rsidRPr="00F0344E" w:rsidRDefault="0066458A" w:rsidP="00D60417">
      <w:pPr>
        <w:pStyle w:val="Default"/>
        <w:numPr>
          <w:ilvl w:val="0"/>
          <w:numId w:val="1"/>
        </w:numPr>
      </w:pPr>
      <w:r>
        <w:rPr>
          <w:sz w:val="23"/>
          <w:szCs w:val="23"/>
        </w:rPr>
        <w:t>L’Ordine dei Farmacisti della Provincia di Lucca è un</w:t>
      </w:r>
      <w:r w:rsidR="00D60417">
        <w:rPr>
          <w:sz w:val="23"/>
          <w:szCs w:val="23"/>
        </w:rPr>
        <w:t xml:space="preserve"> Ente pubblico non economico indipendente ausiliario dello Stato con</w:t>
      </w:r>
      <w:r w:rsidR="00852D54">
        <w:rPr>
          <w:sz w:val="23"/>
          <w:szCs w:val="23"/>
        </w:rPr>
        <w:t xml:space="preserve"> n. 694 i</w:t>
      </w:r>
      <w:r w:rsidR="00F0344E">
        <w:rPr>
          <w:color w:val="auto"/>
          <w:sz w:val="23"/>
          <w:szCs w:val="23"/>
        </w:rPr>
        <w:t>scritti</w:t>
      </w:r>
      <w:r w:rsidR="00D60417">
        <w:rPr>
          <w:sz w:val="23"/>
          <w:szCs w:val="23"/>
        </w:rPr>
        <w:t>.</w:t>
      </w:r>
      <w:r>
        <w:rPr>
          <w:sz w:val="23"/>
          <w:szCs w:val="23"/>
        </w:rPr>
        <w:t xml:space="preserve"> Rappresenta istituzionalmente gli interessi rilevanti della categoria professionale dei farmacisti e vigila sull’esercizio professionale nell’ottica di preservare l’interesse pubblico.</w:t>
      </w:r>
    </w:p>
    <w:p w:rsidR="00F0344E" w:rsidRPr="00B509FF" w:rsidRDefault="00F0344E" w:rsidP="00F0344E">
      <w:pPr>
        <w:pStyle w:val="Default"/>
        <w:ind w:left="720"/>
      </w:pPr>
    </w:p>
    <w:p w:rsidR="00B509FF" w:rsidRPr="00F0344E" w:rsidRDefault="00B509FF" w:rsidP="00D60417">
      <w:pPr>
        <w:pStyle w:val="Default"/>
        <w:numPr>
          <w:ilvl w:val="0"/>
          <w:numId w:val="1"/>
        </w:numPr>
        <w:rPr>
          <w:color w:val="auto"/>
        </w:rPr>
      </w:pPr>
      <w:r>
        <w:rPr>
          <w:sz w:val="23"/>
          <w:szCs w:val="23"/>
        </w:rPr>
        <w:t xml:space="preserve">L’Ordine è retto dal Consiglio dell’Ordine eletto dagli iscritti ogni </w:t>
      </w:r>
      <w:r w:rsidR="00852D54">
        <w:rPr>
          <w:sz w:val="23"/>
          <w:szCs w:val="23"/>
        </w:rPr>
        <w:t>4</w:t>
      </w:r>
      <w:r w:rsidR="00F0344E">
        <w:rPr>
          <w:sz w:val="23"/>
          <w:szCs w:val="23"/>
        </w:rPr>
        <w:t xml:space="preserve"> anni ed è</w:t>
      </w:r>
      <w:r>
        <w:rPr>
          <w:color w:val="auto"/>
          <w:sz w:val="23"/>
          <w:szCs w:val="23"/>
        </w:rPr>
        <w:t xml:space="preserve"> composto da 9 membri. L’attuale consiglio si è insediato con le elezioni d</w:t>
      </w:r>
      <w:r w:rsidR="00852D54">
        <w:rPr>
          <w:color w:val="auto"/>
          <w:sz w:val="23"/>
          <w:szCs w:val="23"/>
        </w:rPr>
        <w:t>el 30/01/2021</w:t>
      </w:r>
      <w:r w:rsidRPr="00B509FF">
        <w:rPr>
          <w:color w:val="auto"/>
          <w:sz w:val="23"/>
          <w:szCs w:val="23"/>
        </w:rPr>
        <w:t>ed</w:t>
      </w:r>
      <w:r>
        <w:rPr>
          <w:color w:val="auto"/>
          <w:sz w:val="23"/>
          <w:szCs w:val="23"/>
        </w:rPr>
        <w:t xml:space="preserve"> ha eletto tra i propri membri il Presidente, rappresentante legale dell’Ord</w:t>
      </w:r>
      <w:r w:rsidR="00F0344E">
        <w:rPr>
          <w:color w:val="auto"/>
          <w:sz w:val="23"/>
          <w:szCs w:val="23"/>
        </w:rPr>
        <w:t>ine, il Vicepresidente, il Segre</w:t>
      </w:r>
      <w:r>
        <w:rPr>
          <w:color w:val="auto"/>
          <w:sz w:val="23"/>
          <w:szCs w:val="23"/>
        </w:rPr>
        <w:t>tario ed il Tesoriere.</w:t>
      </w:r>
    </w:p>
    <w:p w:rsidR="00F0344E" w:rsidRPr="00B509FF" w:rsidRDefault="00F0344E" w:rsidP="00F0344E">
      <w:pPr>
        <w:pStyle w:val="Default"/>
        <w:rPr>
          <w:color w:val="auto"/>
        </w:rPr>
      </w:pPr>
    </w:p>
    <w:p w:rsidR="00D60417" w:rsidRPr="00F0344E" w:rsidRDefault="00D60417" w:rsidP="00D60417">
      <w:pPr>
        <w:pStyle w:val="Default"/>
        <w:numPr>
          <w:ilvl w:val="0"/>
          <w:numId w:val="1"/>
        </w:numPr>
      </w:pPr>
      <w:r w:rsidRPr="00B6531C">
        <w:rPr>
          <w:sz w:val="23"/>
          <w:szCs w:val="23"/>
        </w:rPr>
        <w:t>Il Presidente e i Consiglieri operano a titolo gratuito, senza alcun compenso e senza l’erogazione di alcun gettone presenza.</w:t>
      </w:r>
    </w:p>
    <w:p w:rsidR="00F0344E" w:rsidRDefault="00F0344E" w:rsidP="00F0344E">
      <w:pPr>
        <w:pStyle w:val="Default"/>
        <w:ind w:left="720"/>
      </w:pPr>
    </w:p>
    <w:p w:rsidR="00F0344E" w:rsidRDefault="00B6531C" w:rsidP="00F0344E">
      <w:pPr>
        <w:pStyle w:val="Default"/>
        <w:numPr>
          <w:ilvl w:val="0"/>
          <w:numId w:val="1"/>
        </w:numPr>
      </w:pPr>
      <w:r>
        <w:t>L’ Ordine sottopone all’approvazione degli iscritti il bilancio preventivo e il bilancio consuntivo</w:t>
      </w:r>
      <w:r w:rsidR="002B6A96">
        <w:t>.</w:t>
      </w:r>
    </w:p>
    <w:p w:rsidR="00F0344E" w:rsidRPr="00154C74" w:rsidRDefault="00F0344E" w:rsidP="00F0344E">
      <w:pPr>
        <w:pStyle w:val="Default"/>
      </w:pPr>
    </w:p>
    <w:p w:rsidR="00154C74" w:rsidRPr="00F0344E" w:rsidRDefault="00154C74" w:rsidP="00154C74">
      <w:pPr>
        <w:pStyle w:val="Default"/>
        <w:numPr>
          <w:ilvl w:val="0"/>
          <w:numId w:val="1"/>
        </w:numPr>
      </w:pPr>
      <w:r>
        <w:rPr>
          <w:sz w:val="23"/>
          <w:szCs w:val="23"/>
        </w:rPr>
        <w:t>Le uscite di cassa, ponderate secondo il principio dell’economicità, sono gestite nel rispetto del  bilancio preventivo.</w:t>
      </w:r>
    </w:p>
    <w:p w:rsidR="00F0344E" w:rsidRDefault="00F0344E" w:rsidP="00F0344E">
      <w:pPr>
        <w:pStyle w:val="Default"/>
      </w:pPr>
    </w:p>
    <w:p w:rsidR="002B6A96" w:rsidRDefault="002B6A96" w:rsidP="00D60417">
      <w:pPr>
        <w:pStyle w:val="Default"/>
        <w:numPr>
          <w:ilvl w:val="0"/>
          <w:numId w:val="1"/>
        </w:numPr>
      </w:pPr>
      <w:r>
        <w:t>I principali portatori di i</w:t>
      </w:r>
      <w:r w:rsidR="007B7A19">
        <w:t>n</w:t>
      </w:r>
      <w:r>
        <w:t>teresse che</w:t>
      </w:r>
      <w:r w:rsidR="007B7A19">
        <w:t xml:space="preserve"> si relazionano con l’Ordine sono gli iscritti all’albo</w:t>
      </w:r>
      <w:r w:rsidR="00154C74">
        <w:t>.</w:t>
      </w:r>
    </w:p>
    <w:p w:rsidR="00F0344E" w:rsidRDefault="00F0344E" w:rsidP="00F0344E">
      <w:pPr>
        <w:pStyle w:val="Default"/>
      </w:pPr>
    </w:p>
    <w:p w:rsidR="00154C74" w:rsidRPr="00F0344E" w:rsidRDefault="00154C74" w:rsidP="00F0344E">
      <w:pPr>
        <w:pStyle w:val="Default"/>
        <w:numPr>
          <w:ilvl w:val="0"/>
          <w:numId w:val="1"/>
        </w:numPr>
      </w:pPr>
      <w:r>
        <w:rPr>
          <w:sz w:val="23"/>
          <w:szCs w:val="23"/>
        </w:rPr>
        <w:t>L’ Ordine si avvale di un solo dipendente con mansioni di segreteria e avente un contratto part</w:t>
      </w:r>
      <w:r w:rsidRPr="00F0344E">
        <w:rPr>
          <w:sz w:val="23"/>
          <w:szCs w:val="23"/>
        </w:rPr>
        <w:t>-time.</w:t>
      </w:r>
    </w:p>
    <w:p w:rsidR="00F0344E" w:rsidRPr="00C20EB8" w:rsidRDefault="00F0344E" w:rsidP="00F0344E">
      <w:pPr>
        <w:pStyle w:val="Default"/>
      </w:pPr>
    </w:p>
    <w:p w:rsidR="007C3073" w:rsidRPr="00147FD2" w:rsidRDefault="00154C74" w:rsidP="00147FD2">
      <w:pPr>
        <w:pStyle w:val="Default"/>
        <w:numPr>
          <w:ilvl w:val="0"/>
          <w:numId w:val="1"/>
        </w:numPr>
      </w:pPr>
      <w:r>
        <w:rPr>
          <w:sz w:val="23"/>
          <w:szCs w:val="23"/>
        </w:rPr>
        <w:t>Non sono presenti figure di dirigenti.</w:t>
      </w:r>
    </w:p>
    <w:p w:rsidR="007C3073" w:rsidRDefault="007C3073" w:rsidP="00FF118E">
      <w:pPr>
        <w:pStyle w:val="Default"/>
        <w:jc w:val="center"/>
        <w:rPr>
          <w:color w:val="C0504D" w:themeColor="accent2"/>
        </w:rPr>
      </w:pPr>
    </w:p>
    <w:p w:rsidR="007C3073" w:rsidRDefault="007C3073" w:rsidP="00FF118E">
      <w:pPr>
        <w:pStyle w:val="Default"/>
        <w:jc w:val="center"/>
        <w:rPr>
          <w:color w:val="C0504D" w:themeColor="accent2"/>
        </w:rPr>
      </w:pPr>
    </w:p>
    <w:p w:rsidR="0018079E" w:rsidRDefault="0018079E" w:rsidP="00FF118E">
      <w:pPr>
        <w:pStyle w:val="Default"/>
        <w:jc w:val="center"/>
        <w:rPr>
          <w:color w:val="C0504D" w:themeColor="accent2"/>
        </w:rPr>
      </w:pPr>
    </w:p>
    <w:p w:rsidR="00FF118E" w:rsidRPr="0049467D" w:rsidRDefault="00FF118E" w:rsidP="00F0344E">
      <w:pPr>
        <w:pStyle w:val="Default"/>
        <w:rPr>
          <w:color w:val="auto"/>
          <w:sz w:val="28"/>
          <w:szCs w:val="28"/>
        </w:rPr>
      </w:pPr>
      <w:r w:rsidRPr="0049467D">
        <w:rPr>
          <w:color w:val="auto"/>
          <w:sz w:val="28"/>
          <w:szCs w:val="28"/>
        </w:rPr>
        <w:t>Gestione del rischio</w:t>
      </w:r>
    </w:p>
    <w:p w:rsidR="00FF118E" w:rsidRDefault="00FF118E" w:rsidP="00FF118E">
      <w:pPr>
        <w:pStyle w:val="Default"/>
        <w:jc w:val="center"/>
      </w:pPr>
    </w:p>
    <w:p w:rsidR="002256F5" w:rsidRDefault="00FF118E" w:rsidP="00FF118E">
      <w:pPr>
        <w:pStyle w:val="Default"/>
      </w:pPr>
      <w:r>
        <w:t xml:space="preserve">Secondo il PNA </w:t>
      </w:r>
      <w:r w:rsidR="002256F5">
        <w:t>nell’allegato 1 si definisce l’analisi del rischio come “valutazione della probabilità che il rischio si realizzi e delle conseguenze che il rischio produce ( probabilità e impatto) per giungere alla determinazione del livello di rischio. Il livello di rischio è rappresentato da un valore numerico”.</w:t>
      </w:r>
    </w:p>
    <w:p w:rsidR="002256F5" w:rsidRDefault="002256F5" w:rsidP="00FF118E">
      <w:pPr>
        <w:pStyle w:val="Default"/>
      </w:pPr>
      <w:r>
        <w:t>Il PNA propone una serie di indici di valutazione al fine del calcolo del livello di probabilità (P</w:t>
      </w:r>
      <w:r w:rsidR="00141E53">
        <w:t>, espresso con una scala da 0a 5</w:t>
      </w:r>
      <w:r w:rsidR="00C87C87">
        <w:t xml:space="preserve"> dove 0= nessuna probabilità, 1= improbabile, 2= poco probabile, 3= probabile, 4= molto probabile, 5= altamente probabile )</w:t>
      </w:r>
      <w:r>
        <w:t xml:space="preserve">  e di impatto (I</w:t>
      </w:r>
      <w:r w:rsidR="00141E53">
        <w:t>, espresso con una scala da 0 a 5</w:t>
      </w:r>
      <w:r w:rsidR="00C87C87">
        <w:t xml:space="preserve"> dove 0= nessuna probabilità, 1= improbabile, 2= poco probabile, 3= probabile, 4= molto probabile, 5= altamente probabile</w:t>
      </w:r>
      <w:r>
        <w:t>).</w:t>
      </w:r>
    </w:p>
    <w:p w:rsidR="002256F5" w:rsidRDefault="002256F5" w:rsidP="00FF118E">
      <w:pPr>
        <w:pStyle w:val="Default"/>
      </w:pPr>
      <w:r>
        <w:t xml:space="preserve">In termini matematici il livello di rischio corruttivo R viene definito come </w:t>
      </w:r>
    </w:p>
    <w:p w:rsidR="002256F5" w:rsidRDefault="002256F5" w:rsidP="00FF118E">
      <w:pPr>
        <w:pStyle w:val="Default"/>
      </w:pPr>
      <w:proofErr w:type="spellStart"/>
      <w:r>
        <w:t>R=</w:t>
      </w:r>
      <w:proofErr w:type="spellEnd"/>
      <w:r>
        <w:t xml:space="preserve"> </w:t>
      </w:r>
      <w:proofErr w:type="spellStart"/>
      <w:r>
        <w:t>P.I</w:t>
      </w:r>
      <w:proofErr w:type="spellEnd"/>
    </w:p>
    <w:p w:rsidR="00CF6AB6" w:rsidRDefault="00CF6AB6" w:rsidP="00FF118E">
      <w:pPr>
        <w:pStyle w:val="Default"/>
      </w:pPr>
      <w:r>
        <w:t>Le valutazioni svolte nei precedenti PTPCT hanno evidenziato un rischio corruttivo basso.</w:t>
      </w:r>
    </w:p>
    <w:p w:rsidR="00CF6AB6" w:rsidRDefault="00CF6AB6" w:rsidP="00FF118E">
      <w:pPr>
        <w:pStyle w:val="Default"/>
      </w:pPr>
      <w:r>
        <w:t>Non si sono mai manifestati nel frattempo fonti o situazioni indicative di alcuna criticità.</w:t>
      </w:r>
    </w:p>
    <w:p w:rsidR="002256F5" w:rsidRDefault="00CF6AB6" w:rsidP="00FF118E">
      <w:pPr>
        <w:pStyle w:val="Default"/>
      </w:pPr>
      <w:r>
        <w:t>Da un’analisi sintetica</w:t>
      </w:r>
      <w:r w:rsidR="009723B4">
        <w:t xml:space="preserve">, </w:t>
      </w:r>
      <w:r>
        <w:t xml:space="preserve"> il contesto esterno culturale, sociale ed economico sono  tali da non far rilevare il fenomeno corruttivo all’interno del territorio.</w:t>
      </w:r>
    </w:p>
    <w:p w:rsidR="00CE10AB" w:rsidRDefault="00CE10AB" w:rsidP="00FF118E">
      <w:pPr>
        <w:pStyle w:val="Default"/>
      </w:pPr>
      <w:r>
        <w:t>Anche l’analisi del contesto interno non ha evidenziato rischio corruttivo, avvalendosi l’</w:t>
      </w:r>
      <w:r w:rsidR="0049467D">
        <w:t>o</w:t>
      </w:r>
      <w:r>
        <w:t>rdine di Lucca di un solo dip</w:t>
      </w:r>
      <w:r w:rsidR="009723B4">
        <w:t>endente.</w:t>
      </w:r>
    </w:p>
    <w:p w:rsidR="00024A61" w:rsidRDefault="00024A61" w:rsidP="00FF118E">
      <w:pPr>
        <w:pStyle w:val="Default"/>
      </w:pPr>
    </w:p>
    <w:p w:rsidR="00024A61" w:rsidRDefault="00024A61" w:rsidP="00FF118E">
      <w:pPr>
        <w:pStyle w:val="Default"/>
      </w:pPr>
    </w:p>
    <w:p w:rsidR="00CE10AB" w:rsidRDefault="00CE10AB" w:rsidP="00FF118E">
      <w:pPr>
        <w:pStyle w:val="Default"/>
      </w:pPr>
    </w:p>
    <w:p w:rsidR="00CF6AB6" w:rsidRPr="00024A61" w:rsidRDefault="00CE10AB" w:rsidP="00FF118E">
      <w:pPr>
        <w:pStyle w:val="Default"/>
        <w:rPr>
          <w:sz w:val="28"/>
          <w:szCs w:val="28"/>
        </w:rPr>
      </w:pPr>
      <w:r w:rsidRPr="00024A61">
        <w:rPr>
          <w:sz w:val="28"/>
          <w:szCs w:val="28"/>
        </w:rPr>
        <w:t>Aree di rischio obbligatorie</w:t>
      </w:r>
    </w:p>
    <w:p w:rsidR="00CE10AB" w:rsidRDefault="00CE10AB" w:rsidP="00FF118E">
      <w:pPr>
        <w:pStyle w:val="Default"/>
      </w:pPr>
    </w:p>
    <w:p w:rsidR="00FF118E" w:rsidRDefault="00FF118E" w:rsidP="00FF118E">
      <w:pPr>
        <w:pStyle w:val="Default"/>
      </w:pPr>
      <w:r>
        <w:t>le aree di rischio obbligatorie prettamente dedicate alle attività degli Ordini sono:</w:t>
      </w:r>
    </w:p>
    <w:p w:rsidR="00FF118E" w:rsidRDefault="00DA1C77" w:rsidP="00FF118E">
      <w:pPr>
        <w:pStyle w:val="Default"/>
      </w:pPr>
      <w:r>
        <w:t>a) Area acquisizione e progressione del personale</w:t>
      </w:r>
    </w:p>
    <w:p w:rsidR="00FF118E" w:rsidRDefault="00FF118E" w:rsidP="00FF118E">
      <w:pPr>
        <w:pStyle w:val="Default"/>
        <w:rPr>
          <w:sz w:val="23"/>
          <w:szCs w:val="23"/>
        </w:rPr>
      </w:pPr>
      <w:r>
        <w:rPr>
          <w:sz w:val="23"/>
          <w:szCs w:val="23"/>
        </w:rPr>
        <w:t xml:space="preserve">1. Reclutamento </w:t>
      </w:r>
    </w:p>
    <w:p w:rsidR="00FF118E" w:rsidRDefault="00FF118E" w:rsidP="00FF118E">
      <w:pPr>
        <w:pStyle w:val="Default"/>
        <w:rPr>
          <w:sz w:val="23"/>
          <w:szCs w:val="23"/>
        </w:rPr>
      </w:pPr>
      <w:r>
        <w:rPr>
          <w:sz w:val="23"/>
          <w:szCs w:val="23"/>
        </w:rPr>
        <w:t xml:space="preserve">2. Progressioni di carriera </w:t>
      </w:r>
    </w:p>
    <w:p w:rsidR="00C4177D" w:rsidRDefault="00FF118E" w:rsidP="00FF118E">
      <w:pPr>
        <w:pStyle w:val="Default"/>
        <w:rPr>
          <w:sz w:val="23"/>
          <w:szCs w:val="23"/>
        </w:rPr>
      </w:pPr>
      <w:r>
        <w:rPr>
          <w:sz w:val="23"/>
          <w:szCs w:val="23"/>
        </w:rPr>
        <w:t>3. Conferimento di incarichi di collaborazione</w:t>
      </w:r>
    </w:p>
    <w:p w:rsidR="00E95D27" w:rsidRDefault="00E95D27" w:rsidP="00FF118E">
      <w:pPr>
        <w:pStyle w:val="Default"/>
        <w:rPr>
          <w:sz w:val="23"/>
          <w:szCs w:val="23"/>
        </w:rPr>
      </w:pPr>
    </w:p>
    <w:p w:rsidR="00E95D27" w:rsidRDefault="00E95D27" w:rsidP="00FF118E">
      <w:pPr>
        <w:pStyle w:val="Default"/>
        <w:rPr>
          <w:sz w:val="23"/>
          <w:szCs w:val="23"/>
        </w:rPr>
      </w:pPr>
      <w:r>
        <w:rPr>
          <w:sz w:val="23"/>
          <w:szCs w:val="23"/>
        </w:rPr>
        <w:t>b) Area affidamento di lavori, servizi e forniture</w:t>
      </w:r>
    </w:p>
    <w:p w:rsidR="00E95D27" w:rsidRDefault="00E95D27" w:rsidP="00E95D27">
      <w:pPr>
        <w:pStyle w:val="Default"/>
        <w:rPr>
          <w:sz w:val="23"/>
          <w:szCs w:val="23"/>
        </w:rPr>
      </w:pPr>
      <w:r>
        <w:rPr>
          <w:sz w:val="23"/>
          <w:szCs w:val="23"/>
        </w:rPr>
        <w:t xml:space="preserve">1. Definizione dell’oggetto e dello strumento dell’affidamento </w:t>
      </w:r>
    </w:p>
    <w:p w:rsidR="00E95D27" w:rsidRDefault="00E95D27" w:rsidP="00E95D27">
      <w:pPr>
        <w:pStyle w:val="Default"/>
        <w:rPr>
          <w:sz w:val="23"/>
          <w:szCs w:val="23"/>
        </w:rPr>
      </w:pPr>
      <w:r>
        <w:rPr>
          <w:sz w:val="23"/>
          <w:szCs w:val="23"/>
        </w:rPr>
        <w:t xml:space="preserve">2. Requisiti di qualificazione e di aggiudicazione </w:t>
      </w:r>
    </w:p>
    <w:p w:rsidR="00E95D27" w:rsidRDefault="00E95D27" w:rsidP="00E95D27">
      <w:pPr>
        <w:pStyle w:val="Default"/>
        <w:rPr>
          <w:sz w:val="23"/>
          <w:szCs w:val="23"/>
        </w:rPr>
      </w:pPr>
      <w:r>
        <w:rPr>
          <w:sz w:val="23"/>
          <w:szCs w:val="23"/>
        </w:rPr>
        <w:t>3. Valutazione delle offerte</w:t>
      </w:r>
    </w:p>
    <w:p w:rsidR="00DD5776" w:rsidRDefault="00DD5776" w:rsidP="00E95D27">
      <w:pPr>
        <w:pStyle w:val="Default"/>
        <w:rPr>
          <w:sz w:val="23"/>
          <w:szCs w:val="23"/>
        </w:rPr>
      </w:pPr>
    </w:p>
    <w:p w:rsidR="00E5119A" w:rsidRDefault="00E5119A" w:rsidP="00E95D27">
      <w:pPr>
        <w:pStyle w:val="Default"/>
        <w:rPr>
          <w:sz w:val="23"/>
          <w:szCs w:val="23"/>
        </w:rPr>
      </w:pPr>
      <w:r>
        <w:rPr>
          <w:sz w:val="23"/>
          <w:szCs w:val="23"/>
        </w:rPr>
        <w:t>Non sono individuate aree di rischio ulteriori rispetto a quelle obbligatorie</w:t>
      </w:r>
      <w:r w:rsidR="00F15416">
        <w:rPr>
          <w:sz w:val="23"/>
          <w:szCs w:val="23"/>
        </w:rPr>
        <w:t>.</w:t>
      </w:r>
    </w:p>
    <w:p w:rsidR="006F7135" w:rsidRDefault="006F7135" w:rsidP="00B47C84">
      <w:pPr>
        <w:pStyle w:val="Default"/>
      </w:pPr>
    </w:p>
    <w:p w:rsidR="00121B61" w:rsidRDefault="00121B61" w:rsidP="00F15416">
      <w:pPr>
        <w:pStyle w:val="Default"/>
      </w:pPr>
    </w:p>
    <w:p w:rsidR="00121B61" w:rsidRDefault="00121B61" w:rsidP="006F7135">
      <w:pPr>
        <w:pStyle w:val="Default"/>
        <w:ind w:left="720"/>
      </w:pPr>
    </w:p>
    <w:p w:rsidR="006A526E" w:rsidRDefault="006A526E" w:rsidP="006F7135">
      <w:pPr>
        <w:pStyle w:val="Default"/>
        <w:ind w:left="720"/>
      </w:pPr>
    </w:p>
    <w:p w:rsidR="006A526E" w:rsidRDefault="006A526E" w:rsidP="006F7135">
      <w:pPr>
        <w:pStyle w:val="Default"/>
        <w:ind w:left="720"/>
      </w:pPr>
    </w:p>
    <w:p w:rsidR="006A526E" w:rsidRDefault="006A526E" w:rsidP="006F7135">
      <w:pPr>
        <w:pStyle w:val="Default"/>
        <w:ind w:left="720"/>
      </w:pPr>
    </w:p>
    <w:p w:rsidR="006A526E" w:rsidRDefault="006A526E" w:rsidP="006F7135">
      <w:pPr>
        <w:pStyle w:val="Default"/>
        <w:ind w:left="720"/>
      </w:pPr>
    </w:p>
    <w:p w:rsidR="006A526E" w:rsidRDefault="006A526E" w:rsidP="00147FD2">
      <w:pPr>
        <w:pStyle w:val="Default"/>
      </w:pPr>
    </w:p>
    <w:p w:rsidR="006A526E" w:rsidRDefault="006A526E" w:rsidP="006F7135">
      <w:pPr>
        <w:pStyle w:val="Default"/>
        <w:ind w:left="720"/>
      </w:pPr>
    </w:p>
    <w:p w:rsidR="006A526E" w:rsidRDefault="006A526E" w:rsidP="006F7135">
      <w:pPr>
        <w:pStyle w:val="Default"/>
        <w:ind w:left="720"/>
      </w:pPr>
    </w:p>
    <w:p w:rsidR="00121B61" w:rsidRDefault="00121B61" w:rsidP="006F7135">
      <w:pPr>
        <w:pStyle w:val="Default"/>
        <w:ind w:left="720"/>
      </w:pPr>
    </w:p>
    <w:p w:rsidR="00121B61" w:rsidRDefault="00121B61" w:rsidP="00B47C84">
      <w:pPr>
        <w:pStyle w:val="Default"/>
      </w:pPr>
    </w:p>
    <w:p w:rsidR="00121B61" w:rsidRPr="003C1564" w:rsidRDefault="003C1564" w:rsidP="006F7135">
      <w:pPr>
        <w:pStyle w:val="Default"/>
        <w:ind w:left="720"/>
        <w:rPr>
          <w:sz w:val="28"/>
          <w:szCs w:val="28"/>
        </w:rPr>
      </w:pPr>
      <w:r w:rsidRPr="003C1564">
        <w:rPr>
          <w:sz w:val="28"/>
          <w:szCs w:val="28"/>
        </w:rPr>
        <w:lastRenderedPageBreak/>
        <w:t>Le valutazioni e le gestioni del rischio sono riportate nelle tabelle sottostanti.</w:t>
      </w:r>
    </w:p>
    <w:p w:rsidR="0033269C" w:rsidRDefault="0033269C" w:rsidP="006F7135">
      <w:pPr>
        <w:pStyle w:val="Default"/>
        <w:ind w:left="720"/>
      </w:pPr>
    </w:p>
    <w:p w:rsidR="0033269C" w:rsidRDefault="0033269C" w:rsidP="006F7135">
      <w:pPr>
        <w:pStyle w:val="Default"/>
        <w:ind w:left="720"/>
      </w:pPr>
    </w:p>
    <w:p w:rsidR="0033269C" w:rsidRDefault="0033269C" w:rsidP="006F7135">
      <w:pPr>
        <w:pStyle w:val="Default"/>
        <w:ind w:left="720"/>
      </w:pPr>
    </w:p>
    <w:tbl>
      <w:tblPr>
        <w:tblStyle w:val="Grigliatabella"/>
        <w:tblW w:w="0" w:type="auto"/>
        <w:tblInd w:w="720" w:type="dxa"/>
        <w:tblLook w:val="04A0"/>
      </w:tblPr>
      <w:tblGrid>
        <w:gridCol w:w="2335"/>
        <w:gridCol w:w="2265"/>
        <w:gridCol w:w="2295"/>
        <w:gridCol w:w="2240"/>
      </w:tblGrid>
      <w:tr w:rsidR="0033269C" w:rsidTr="0033269C">
        <w:tc>
          <w:tcPr>
            <w:tcW w:w="2787" w:type="dxa"/>
            <w:vAlign w:val="center"/>
          </w:tcPr>
          <w:p w:rsidR="0033269C" w:rsidRDefault="0033269C" w:rsidP="0033269C">
            <w:pPr>
              <w:pStyle w:val="Default"/>
              <w:jc w:val="center"/>
            </w:pPr>
            <w:r>
              <w:rPr>
                <w:b/>
                <w:bCs/>
                <w:sz w:val="23"/>
                <w:szCs w:val="23"/>
              </w:rPr>
              <w:t>Aree di rischio</w:t>
            </w:r>
          </w:p>
        </w:tc>
        <w:tc>
          <w:tcPr>
            <w:tcW w:w="2746" w:type="dxa"/>
            <w:vAlign w:val="center"/>
          </w:tcPr>
          <w:p w:rsidR="0033269C" w:rsidRDefault="0033269C" w:rsidP="0033269C">
            <w:pPr>
              <w:pStyle w:val="Default"/>
              <w:jc w:val="center"/>
              <w:rPr>
                <w:sz w:val="23"/>
                <w:szCs w:val="23"/>
              </w:rPr>
            </w:pPr>
            <w:r>
              <w:rPr>
                <w:b/>
                <w:bCs/>
                <w:sz w:val="23"/>
                <w:szCs w:val="23"/>
              </w:rPr>
              <w:t>Valore della</w:t>
            </w:r>
          </w:p>
          <w:p w:rsidR="0033269C" w:rsidRDefault="0033269C" w:rsidP="0033269C">
            <w:pPr>
              <w:pStyle w:val="Default"/>
              <w:jc w:val="center"/>
              <w:rPr>
                <w:sz w:val="23"/>
                <w:szCs w:val="23"/>
              </w:rPr>
            </w:pPr>
            <w:r>
              <w:rPr>
                <w:b/>
                <w:bCs/>
                <w:sz w:val="23"/>
                <w:szCs w:val="23"/>
              </w:rPr>
              <w:t>probabilità</w:t>
            </w:r>
          </w:p>
        </w:tc>
        <w:tc>
          <w:tcPr>
            <w:tcW w:w="2745" w:type="dxa"/>
            <w:vAlign w:val="center"/>
          </w:tcPr>
          <w:p w:rsidR="0033269C" w:rsidRDefault="0033269C" w:rsidP="0033269C">
            <w:pPr>
              <w:pStyle w:val="Default"/>
              <w:jc w:val="center"/>
              <w:rPr>
                <w:sz w:val="23"/>
                <w:szCs w:val="23"/>
              </w:rPr>
            </w:pPr>
            <w:r>
              <w:rPr>
                <w:b/>
                <w:bCs/>
                <w:sz w:val="23"/>
                <w:szCs w:val="23"/>
              </w:rPr>
              <w:t>Misure</w:t>
            </w:r>
          </w:p>
          <w:p w:rsidR="0033269C" w:rsidRDefault="0033269C" w:rsidP="0033269C">
            <w:pPr>
              <w:pStyle w:val="Default"/>
              <w:jc w:val="center"/>
              <w:rPr>
                <w:sz w:val="23"/>
                <w:szCs w:val="23"/>
              </w:rPr>
            </w:pPr>
            <w:r>
              <w:rPr>
                <w:b/>
                <w:bCs/>
                <w:sz w:val="23"/>
                <w:szCs w:val="23"/>
              </w:rPr>
              <w:t>di prevenzione</w:t>
            </w:r>
          </w:p>
        </w:tc>
        <w:tc>
          <w:tcPr>
            <w:tcW w:w="2745" w:type="dxa"/>
            <w:vAlign w:val="center"/>
          </w:tcPr>
          <w:p w:rsidR="0033269C" w:rsidRDefault="0033269C" w:rsidP="0033269C">
            <w:pPr>
              <w:pStyle w:val="Default"/>
              <w:jc w:val="center"/>
            </w:pPr>
            <w:r>
              <w:rPr>
                <w:b/>
                <w:bCs/>
                <w:sz w:val="23"/>
                <w:szCs w:val="23"/>
              </w:rPr>
              <w:t>Obiettivi</w:t>
            </w:r>
          </w:p>
        </w:tc>
      </w:tr>
      <w:tr w:rsidR="0033269C" w:rsidTr="0033269C">
        <w:tc>
          <w:tcPr>
            <w:tcW w:w="2787" w:type="dxa"/>
          </w:tcPr>
          <w:p w:rsidR="0033269C" w:rsidRDefault="0033269C" w:rsidP="006F7135">
            <w:pPr>
              <w:pStyle w:val="Default"/>
            </w:pPr>
            <w:r>
              <w:t>Area acquisizione e progressione del personale</w:t>
            </w:r>
          </w:p>
        </w:tc>
        <w:tc>
          <w:tcPr>
            <w:tcW w:w="2746" w:type="dxa"/>
            <w:vAlign w:val="center"/>
          </w:tcPr>
          <w:p w:rsidR="0033269C" w:rsidRDefault="0033269C" w:rsidP="006F7135">
            <w:pPr>
              <w:pStyle w:val="Default"/>
            </w:pPr>
            <w:r>
              <w:t xml:space="preserve">               1</w:t>
            </w:r>
          </w:p>
          <w:p w:rsidR="0033269C" w:rsidRDefault="0033269C" w:rsidP="006F7135">
            <w:pPr>
              <w:pStyle w:val="Default"/>
            </w:pPr>
          </w:p>
        </w:tc>
        <w:tc>
          <w:tcPr>
            <w:tcW w:w="2745" w:type="dxa"/>
            <w:vAlign w:val="center"/>
          </w:tcPr>
          <w:p w:rsidR="0033269C" w:rsidRDefault="0033269C" w:rsidP="006F7135">
            <w:pPr>
              <w:pStyle w:val="Default"/>
            </w:pPr>
            <w:r>
              <w:t xml:space="preserve">Vigilanza </w:t>
            </w:r>
          </w:p>
        </w:tc>
        <w:tc>
          <w:tcPr>
            <w:tcW w:w="2745" w:type="dxa"/>
            <w:vAlign w:val="center"/>
          </w:tcPr>
          <w:p w:rsidR="0033269C" w:rsidRDefault="0033269C" w:rsidP="006F7135">
            <w:pPr>
              <w:pStyle w:val="Default"/>
            </w:pPr>
            <w:r>
              <w:t>Evitare casi di corruzione</w:t>
            </w:r>
          </w:p>
        </w:tc>
      </w:tr>
      <w:tr w:rsidR="0033269C" w:rsidTr="0033269C">
        <w:tc>
          <w:tcPr>
            <w:tcW w:w="2787" w:type="dxa"/>
          </w:tcPr>
          <w:p w:rsidR="0033269C" w:rsidRDefault="0033269C" w:rsidP="006F7135">
            <w:pPr>
              <w:pStyle w:val="Default"/>
            </w:pPr>
            <w:r>
              <w:rPr>
                <w:sz w:val="23"/>
                <w:szCs w:val="23"/>
              </w:rPr>
              <w:t>Area affidamento di lavori, servizi e forniture</w:t>
            </w:r>
          </w:p>
        </w:tc>
        <w:tc>
          <w:tcPr>
            <w:tcW w:w="2746" w:type="dxa"/>
            <w:vAlign w:val="center"/>
          </w:tcPr>
          <w:p w:rsidR="0033269C" w:rsidRDefault="00281BFD" w:rsidP="006F7135">
            <w:pPr>
              <w:pStyle w:val="Default"/>
            </w:pPr>
            <w:r>
              <w:t xml:space="preserve">               1</w:t>
            </w:r>
          </w:p>
        </w:tc>
        <w:tc>
          <w:tcPr>
            <w:tcW w:w="2745" w:type="dxa"/>
            <w:vAlign w:val="center"/>
          </w:tcPr>
          <w:p w:rsidR="0033269C" w:rsidRDefault="0033269C" w:rsidP="006F7135">
            <w:pPr>
              <w:pStyle w:val="Default"/>
            </w:pPr>
            <w:r>
              <w:t>Vigilanza</w:t>
            </w:r>
          </w:p>
        </w:tc>
        <w:tc>
          <w:tcPr>
            <w:tcW w:w="2745" w:type="dxa"/>
            <w:vAlign w:val="center"/>
          </w:tcPr>
          <w:p w:rsidR="0033269C" w:rsidRDefault="0033269C" w:rsidP="006F7135">
            <w:pPr>
              <w:pStyle w:val="Default"/>
            </w:pPr>
            <w:r>
              <w:t>Evitare casi di corruzione</w:t>
            </w:r>
          </w:p>
        </w:tc>
      </w:tr>
    </w:tbl>
    <w:p w:rsidR="0033269C" w:rsidRDefault="0033269C" w:rsidP="006F7135">
      <w:pPr>
        <w:pStyle w:val="Default"/>
        <w:ind w:left="720"/>
      </w:pPr>
    </w:p>
    <w:p w:rsidR="0033269C" w:rsidRDefault="0033269C" w:rsidP="006F7135">
      <w:pPr>
        <w:pStyle w:val="Default"/>
        <w:ind w:left="720"/>
      </w:pPr>
    </w:p>
    <w:p w:rsidR="0033269C" w:rsidRDefault="0033269C" w:rsidP="006F7135">
      <w:pPr>
        <w:pStyle w:val="Default"/>
        <w:ind w:left="720"/>
      </w:pPr>
    </w:p>
    <w:tbl>
      <w:tblPr>
        <w:tblStyle w:val="Grigliatabella"/>
        <w:tblW w:w="0" w:type="auto"/>
        <w:tblInd w:w="720" w:type="dxa"/>
        <w:tblLook w:val="04A0"/>
      </w:tblPr>
      <w:tblGrid>
        <w:gridCol w:w="2357"/>
        <w:gridCol w:w="2170"/>
        <w:gridCol w:w="2337"/>
        <w:gridCol w:w="2271"/>
      </w:tblGrid>
      <w:tr w:rsidR="0033269C" w:rsidTr="0033269C">
        <w:tc>
          <w:tcPr>
            <w:tcW w:w="2787" w:type="dxa"/>
          </w:tcPr>
          <w:p w:rsidR="0033269C" w:rsidRDefault="0033269C" w:rsidP="0033269C">
            <w:pPr>
              <w:pStyle w:val="Default"/>
              <w:jc w:val="center"/>
            </w:pPr>
            <w:r>
              <w:rPr>
                <w:b/>
                <w:bCs/>
                <w:sz w:val="23"/>
                <w:szCs w:val="23"/>
              </w:rPr>
              <w:t>Aree di rischio</w:t>
            </w:r>
          </w:p>
        </w:tc>
        <w:tc>
          <w:tcPr>
            <w:tcW w:w="2746" w:type="dxa"/>
          </w:tcPr>
          <w:p w:rsidR="0033269C" w:rsidRDefault="0033269C" w:rsidP="0033269C">
            <w:pPr>
              <w:pStyle w:val="Default"/>
              <w:jc w:val="center"/>
              <w:rPr>
                <w:sz w:val="23"/>
                <w:szCs w:val="23"/>
              </w:rPr>
            </w:pPr>
            <w:r>
              <w:rPr>
                <w:b/>
                <w:bCs/>
                <w:sz w:val="23"/>
                <w:szCs w:val="23"/>
              </w:rPr>
              <w:t>Fattore</w:t>
            </w:r>
          </w:p>
          <w:p w:rsidR="0033269C" w:rsidRDefault="0033269C" w:rsidP="0033269C">
            <w:pPr>
              <w:pStyle w:val="Default"/>
              <w:jc w:val="center"/>
              <w:rPr>
                <w:sz w:val="23"/>
                <w:szCs w:val="23"/>
              </w:rPr>
            </w:pPr>
            <w:r>
              <w:rPr>
                <w:b/>
                <w:bCs/>
                <w:sz w:val="23"/>
                <w:szCs w:val="23"/>
              </w:rPr>
              <w:t>rischio</w:t>
            </w:r>
          </w:p>
        </w:tc>
        <w:tc>
          <w:tcPr>
            <w:tcW w:w="2745" w:type="dxa"/>
          </w:tcPr>
          <w:p w:rsidR="0033269C" w:rsidRDefault="0033269C" w:rsidP="0033269C">
            <w:pPr>
              <w:pStyle w:val="Default"/>
              <w:jc w:val="center"/>
              <w:rPr>
                <w:sz w:val="23"/>
                <w:szCs w:val="23"/>
              </w:rPr>
            </w:pPr>
            <w:r>
              <w:rPr>
                <w:b/>
                <w:bCs/>
                <w:sz w:val="23"/>
                <w:szCs w:val="23"/>
              </w:rPr>
              <w:t>Valutazione</w:t>
            </w:r>
          </w:p>
          <w:p w:rsidR="0033269C" w:rsidRDefault="0033269C" w:rsidP="0033269C">
            <w:pPr>
              <w:pStyle w:val="Default"/>
              <w:jc w:val="center"/>
              <w:rPr>
                <w:sz w:val="23"/>
                <w:szCs w:val="23"/>
              </w:rPr>
            </w:pPr>
            <w:r>
              <w:rPr>
                <w:b/>
                <w:bCs/>
                <w:sz w:val="23"/>
                <w:szCs w:val="23"/>
              </w:rPr>
              <w:t>rischio</w:t>
            </w:r>
          </w:p>
        </w:tc>
        <w:tc>
          <w:tcPr>
            <w:tcW w:w="2745" w:type="dxa"/>
          </w:tcPr>
          <w:p w:rsidR="0033269C" w:rsidRDefault="0033269C" w:rsidP="0033269C">
            <w:pPr>
              <w:pStyle w:val="Default"/>
              <w:jc w:val="center"/>
              <w:rPr>
                <w:sz w:val="23"/>
                <w:szCs w:val="23"/>
              </w:rPr>
            </w:pPr>
            <w:r>
              <w:rPr>
                <w:b/>
                <w:bCs/>
                <w:sz w:val="23"/>
                <w:szCs w:val="23"/>
              </w:rPr>
              <w:t>Misure</w:t>
            </w:r>
          </w:p>
          <w:p w:rsidR="0033269C" w:rsidRDefault="0033269C" w:rsidP="0033269C">
            <w:pPr>
              <w:pStyle w:val="Default"/>
              <w:jc w:val="center"/>
              <w:rPr>
                <w:sz w:val="23"/>
                <w:szCs w:val="23"/>
              </w:rPr>
            </w:pPr>
            <w:r>
              <w:rPr>
                <w:b/>
                <w:bCs/>
                <w:sz w:val="23"/>
                <w:szCs w:val="23"/>
              </w:rPr>
              <w:t>Preventive</w:t>
            </w:r>
          </w:p>
        </w:tc>
      </w:tr>
      <w:tr w:rsidR="003F00AD" w:rsidTr="0033269C">
        <w:tc>
          <w:tcPr>
            <w:tcW w:w="2787" w:type="dxa"/>
          </w:tcPr>
          <w:p w:rsidR="003F00AD" w:rsidRDefault="003F00AD" w:rsidP="00D225B6">
            <w:pPr>
              <w:pStyle w:val="Default"/>
            </w:pPr>
            <w:r>
              <w:t>Area acquisizione e progressione del personale</w:t>
            </w:r>
          </w:p>
        </w:tc>
        <w:tc>
          <w:tcPr>
            <w:tcW w:w="2746" w:type="dxa"/>
          </w:tcPr>
          <w:p w:rsidR="00281BFD" w:rsidRDefault="00281BFD" w:rsidP="00281BFD">
            <w:pPr>
              <w:pStyle w:val="Default"/>
              <w:jc w:val="center"/>
            </w:pPr>
          </w:p>
          <w:p w:rsidR="00281BFD" w:rsidRDefault="00281BFD" w:rsidP="00281BFD">
            <w:pPr>
              <w:pStyle w:val="Default"/>
              <w:jc w:val="center"/>
            </w:pPr>
          </w:p>
          <w:p w:rsidR="003F00AD" w:rsidRDefault="003F00AD" w:rsidP="00281BFD">
            <w:pPr>
              <w:pStyle w:val="Default"/>
              <w:jc w:val="center"/>
            </w:pPr>
            <w:r>
              <w:t>1</w:t>
            </w:r>
          </w:p>
          <w:p w:rsidR="00281BFD" w:rsidRDefault="00281BFD" w:rsidP="00281BFD">
            <w:pPr>
              <w:pStyle w:val="Default"/>
              <w:jc w:val="center"/>
            </w:pPr>
          </w:p>
        </w:tc>
        <w:tc>
          <w:tcPr>
            <w:tcW w:w="2745" w:type="dxa"/>
          </w:tcPr>
          <w:p w:rsidR="003F00AD" w:rsidRDefault="003F00AD" w:rsidP="006F7135">
            <w:pPr>
              <w:pStyle w:val="Default"/>
              <w:rPr>
                <w:sz w:val="23"/>
                <w:szCs w:val="23"/>
              </w:rPr>
            </w:pPr>
            <w:r>
              <w:rPr>
                <w:sz w:val="23"/>
                <w:szCs w:val="23"/>
              </w:rPr>
              <w:t xml:space="preserve"> Inosservanza di regole procedurali trasparenti.</w:t>
            </w:r>
          </w:p>
          <w:p w:rsidR="003F00AD" w:rsidRDefault="003F00AD" w:rsidP="006F7135">
            <w:pPr>
              <w:pStyle w:val="Default"/>
            </w:pPr>
            <w:r>
              <w:rPr>
                <w:sz w:val="23"/>
                <w:szCs w:val="23"/>
              </w:rPr>
              <w:t>Progressioni economiche o di carriera senza merito.</w:t>
            </w:r>
          </w:p>
        </w:tc>
        <w:tc>
          <w:tcPr>
            <w:tcW w:w="2745" w:type="dxa"/>
          </w:tcPr>
          <w:p w:rsidR="003F00AD" w:rsidRDefault="003F00AD" w:rsidP="006F7135">
            <w:pPr>
              <w:pStyle w:val="Default"/>
            </w:pPr>
            <w:r>
              <w:t>Verifica trimestrale delle procedure</w:t>
            </w:r>
          </w:p>
        </w:tc>
      </w:tr>
      <w:tr w:rsidR="003F00AD" w:rsidTr="0033269C">
        <w:tc>
          <w:tcPr>
            <w:tcW w:w="2787" w:type="dxa"/>
          </w:tcPr>
          <w:p w:rsidR="003F00AD" w:rsidRDefault="003F00AD" w:rsidP="006F7135">
            <w:pPr>
              <w:pStyle w:val="Default"/>
            </w:pPr>
            <w:r>
              <w:rPr>
                <w:sz w:val="23"/>
                <w:szCs w:val="23"/>
              </w:rPr>
              <w:t>Area affidamento di lavori, servizi e forniture</w:t>
            </w:r>
          </w:p>
        </w:tc>
        <w:tc>
          <w:tcPr>
            <w:tcW w:w="2746" w:type="dxa"/>
          </w:tcPr>
          <w:p w:rsidR="00281BFD" w:rsidRDefault="00281BFD" w:rsidP="006F7135">
            <w:pPr>
              <w:pStyle w:val="Default"/>
            </w:pPr>
          </w:p>
          <w:p w:rsidR="003F00AD" w:rsidRDefault="00281BFD" w:rsidP="006F7135">
            <w:pPr>
              <w:pStyle w:val="Default"/>
            </w:pPr>
            <w:r>
              <w:t xml:space="preserve">               1</w:t>
            </w:r>
          </w:p>
        </w:tc>
        <w:tc>
          <w:tcPr>
            <w:tcW w:w="2745" w:type="dxa"/>
          </w:tcPr>
          <w:p w:rsidR="003F00AD" w:rsidRDefault="003F00AD" w:rsidP="006F7135">
            <w:pPr>
              <w:pStyle w:val="Default"/>
            </w:pPr>
            <w:r>
              <w:t xml:space="preserve">Inosservanza delle procedure di gara </w:t>
            </w:r>
          </w:p>
        </w:tc>
        <w:tc>
          <w:tcPr>
            <w:tcW w:w="2745" w:type="dxa"/>
          </w:tcPr>
          <w:p w:rsidR="003F00AD" w:rsidRDefault="003F00AD" w:rsidP="006F7135">
            <w:pPr>
              <w:pStyle w:val="Default"/>
            </w:pPr>
            <w:r>
              <w:t>Verifica delle procedure</w:t>
            </w:r>
          </w:p>
        </w:tc>
      </w:tr>
    </w:tbl>
    <w:p w:rsidR="000C3F3F" w:rsidRDefault="000C3F3F" w:rsidP="00121B61">
      <w:pPr>
        <w:pStyle w:val="Default"/>
      </w:pPr>
    </w:p>
    <w:p w:rsidR="000C3F3F" w:rsidRDefault="000C3F3F" w:rsidP="006F7135">
      <w:pPr>
        <w:pStyle w:val="Default"/>
        <w:ind w:left="720"/>
      </w:pPr>
    </w:p>
    <w:p w:rsidR="000C3F3F" w:rsidRDefault="000C3F3F" w:rsidP="006F7135">
      <w:pPr>
        <w:pStyle w:val="Default"/>
        <w:ind w:left="720"/>
      </w:pPr>
    </w:p>
    <w:p w:rsidR="000C3F3F" w:rsidRDefault="000C3F3F" w:rsidP="006F7135">
      <w:pPr>
        <w:pStyle w:val="Default"/>
        <w:ind w:left="720"/>
      </w:pPr>
    </w:p>
    <w:p w:rsidR="00137138" w:rsidRPr="00024A61" w:rsidRDefault="00137138" w:rsidP="0056133F">
      <w:pPr>
        <w:pStyle w:val="Default"/>
        <w:rPr>
          <w:color w:val="auto"/>
          <w:sz w:val="28"/>
          <w:szCs w:val="28"/>
        </w:rPr>
      </w:pPr>
      <w:r w:rsidRPr="00024A61">
        <w:rPr>
          <w:color w:val="auto"/>
          <w:sz w:val="28"/>
          <w:szCs w:val="28"/>
        </w:rPr>
        <w:t>Compiti del Responsabile della Prevenzione della Corruzione e della Trasparenza Amministrativa</w:t>
      </w:r>
    </w:p>
    <w:p w:rsidR="00137138" w:rsidRDefault="00137138" w:rsidP="00137138">
      <w:pPr>
        <w:pStyle w:val="Default"/>
        <w:ind w:left="720"/>
        <w:jc w:val="center"/>
      </w:pPr>
    </w:p>
    <w:p w:rsidR="00137138" w:rsidRDefault="00137138" w:rsidP="00137138">
      <w:pPr>
        <w:pStyle w:val="Default"/>
        <w:ind w:left="720"/>
        <w:jc w:val="center"/>
      </w:pPr>
    </w:p>
    <w:p w:rsidR="00137138" w:rsidRDefault="00137138" w:rsidP="00137138">
      <w:pPr>
        <w:autoSpaceDE w:val="0"/>
        <w:autoSpaceDN w:val="0"/>
        <w:adjustRightInd w:val="0"/>
        <w:spacing w:after="0" w:line="240" w:lineRule="auto"/>
        <w:rPr>
          <w:rFonts w:ascii="Times New Roman" w:hAnsi="Times New Roman" w:cs="Times New Roman"/>
          <w:color w:val="000000"/>
          <w:sz w:val="23"/>
          <w:szCs w:val="23"/>
        </w:rPr>
      </w:pPr>
      <w:r w:rsidRPr="00137138">
        <w:rPr>
          <w:rFonts w:ascii="Times New Roman" w:hAnsi="Times New Roman" w:cs="Times New Roman"/>
          <w:color w:val="000000"/>
          <w:sz w:val="23"/>
          <w:szCs w:val="23"/>
        </w:rPr>
        <w:t xml:space="preserve">Il </w:t>
      </w:r>
      <w:r>
        <w:rPr>
          <w:rFonts w:ascii="Times New Roman" w:hAnsi="Times New Roman" w:cs="Times New Roman"/>
          <w:color w:val="000000"/>
          <w:sz w:val="23"/>
          <w:szCs w:val="23"/>
        </w:rPr>
        <w:t>RPCT</w:t>
      </w:r>
    </w:p>
    <w:p w:rsidR="00137138" w:rsidRPr="00137138" w:rsidRDefault="00137138" w:rsidP="0013713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Pr="00137138">
        <w:rPr>
          <w:rFonts w:ascii="Times New Roman" w:hAnsi="Times New Roman" w:cs="Times New Roman"/>
          <w:color w:val="000000"/>
          <w:sz w:val="23"/>
          <w:szCs w:val="23"/>
        </w:rPr>
        <w:t xml:space="preserve"> propone al Consiglio Direttivo </w:t>
      </w:r>
      <w:r>
        <w:rPr>
          <w:rFonts w:ascii="Times New Roman" w:hAnsi="Times New Roman" w:cs="Times New Roman"/>
          <w:color w:val="000000"/>
          <w:sz w:val="23"/>
          <w:szCs w:val="23"/>
        </w:rPr>
        <w:t xml:space="preserve"> dell’Ordine il PTCT; qualora lo ritenga necessario il RPCT propone gli o</w:t>
      </w:r>
      <w:r w:rsidR="008B1622">
        <w:rPr>
          <w:rFonts w:ascii="Times New Roman" w:hAnsi="Times New Roman" w:cs="Times New Roman"/>
          <w:color w:val="000000"/>
          <w:sz w:val="23"/>
          <w:szCs w:val="23"/>
        </w:rPr>
        <w:t>pportuni aggiornamenti</w:t>
      </w:r>
      <w:r w:rsidR="000A4564">
        <w:rPr>
          <w:rFonts w:ascii="Times New Roman" w:hAnsi="Times New Roman" w:cs="Times New Roman"/>
          <w:color w:val="000000"/>
          <w:sz w:val="23"/>
          <w:szCs w:val="23"/>
        </w:rPr>
        <w:t xml:space="preserve"> e integrazioni al </w:t>
      </w:r>
      <w:r w:rsidR="008B1622">
        <w:rPr>
          <w:rFonts w:ascii="Times New Roman" w:hAnsi="Times New Roman" w:cs="Times New Roman"/>
          <w:color w:val="000000"/>
          <w:sz w:val="23"/>
          <w:szCs w:val="23"/>
        </w:rPr>
        <w:t>piano</w:t>
      </w:r>
      <w:r w:rsidR="000A4564">
        <w:rPr>
          <w:rFonts w:ascii="Times New Roman" w:hAnsi="Times New Roman" w:cs="Times New Roman"/>
          <w:color w:val="000000"/>
          <w:sz w:val="23"/>
          <w:szCs w:val="23"/>
        </w:rPr>
        <w:t>.</w:t>
      </w:r>
    </w:p>
    <w:p w:rsidR="00137138" w:rsidRPr="00137138" w:rsidRDefault="00137138" w:rsidP="0013713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propone e condivide con l’impiegata corsi di formazione</w:t>
      </w:r>
      <w:r w:rsidR="008B1622">
        <w:rPr>
          <w:rFonts w:ascii="Times New Roman" w:hAnsi="Times New Roman" w:cs="Times New Roman"/>
          <w:color w:val="000000"/>
          <w:sz w:val="23"/>
          <w:szCs w:val="23"/>
        </w:rPr>
        <w:t xml:space="preserve"> in tema di anticorruzione</w:t>
      </w:r>
      <w:r>
        <w:rPr>
          <w:rFonts w:ascii="Times New Roman" w:hAnsi="Times New Roman" w:cs="Times New Roman"/>
          <w:color w:val="000000"/>
          <w:sz w:val="23"/>
          <w:szCs w:val="23"/>
        </w:rPr>
        <w:t xml:space="preserve"> ( l’ultimo corso presso la FOFI 15 Gennaio 2019)</w:t>
      </w:r>
      <w:r w:rsidR="000A4564">
        <w:rPr>
          <w:rFonts w:ascii="Times New Roman" w:hAnsi="Times New Roman" w:cs="Times New Roman"/>
          <w:color w:val="000000"/>
          <w:sz w:val="23"/>
          <w:szCs w:val="23"/>
        </w:rPr>
        <w:t>.</w:t>
      </w:r>
    </w:p>
    <w:p w:rsidR="00137138" w:rsidRPr="00137138" w:rsidRDefault="00137138" w:rsidP="0013713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3. </w:t>
      </w:r>
      <w:r w:rsidR="007C4AB9">
        <w:rPr>
          <w:rFonts w:ascii="Times New Roman" w:hAnsi="Times New Roman" w:cs="Times New Roman"/>
          <w:color w:val="000000"/>
          <w:sz w:val="23"/>
          <w:szCs w:val="23"/>
        </w:rPr>
        <w:t>vigila sull’attuazione del Piano</w:t>
      </w:r>
      <w:r w:rsidR="000A4564">
        <w:rPr>
          <w:rFonts w:ascii="Times New Roman" w:hAnsi="Times New Roman" w:cs="Times New Roman"/>
          <w:color w:val="000000"/>
          <w:sz w:val="23"/>
          <w:szCs w:val="23"/>
        </w:rPr>
        <w:t>.</w:t>
      </w:r>
    </w:p>
    <w:p w:rsidR="007C4AB9" w:rsidRDefault="007C4AB9" w:rsidP="0013713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 trasmette il  Codice</w:t>
      </w:r>
      <w:r w:rsidR="00137138" w:rsidRPr="00137138">
        <w:rPr>
          <w:rFonts w:ascii="Times New Roman" w:hAnsi="Times New Roman" w:cs="Times New Roman"/>
          <w:color w:val="000000"/>
          <w:sz w:val="23"/>
          <w:szCs w:val="23"/>
        </w:rPr>
        <w:t xml:space="preserve"> di Comportamento all’interno dell’Ordine</w:t>
      </w:r>
      <w:r w:rsidR="000A4564">
        <w:rPr>
          <w:rFonts w:ascii="Times New Roman" w:hAnsi="Times New Roman" w:cs="Times New Roman"/>
          <w:color w:val="000000"/>
          <w:sz w:val="23"/>
          <w:szCs w:val="23"/>
        </w:rPr>
        <w:t>.</w:t>
      </w:r>
    </w:p>
    <w:p w:rsidR="00E832FC" w:rsidRDefault="007C4AB9" w:rsidP="0013713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 informa gli organi competenti  se riscontra inadempienze gravi o fatti che possano costituire reato</w:t>
      </w:r>
      <w:r w:rsidR="000A4564">
        <w:rPr>
          <w:rFonts w:ascii="Times New Roman" w:hAnsi="Times New Roman" w:cs="Times New Roman"/>
          <w:color w:val="000000"/>
          <w:sz w:val="23"/>
          <w:szCs w:val="23"/>
        </w:rPr>
        <w:t>.</w:t>
      </w:r>
    </w:p>
    <w:p w:rsidR="00892661" w:rsidRDefault="00892661" w:rsidP="00137138">
      <w:pPr>
        <w:autoSpaceDE w:val="0"/>
        <w:autoSpaceDN w:val="0"/>
        <w:adjustRightInd w:val="0"/>
        <w:spacing w:after="0" w:line="240" w:lineRule="auto"/>
        <w:rPr>
          <w:rFonts w:ascii="Times New Roman" w:hAnsi="Times New Roman" w:cs="Times New Roman"/>
          <w:color w:val="000000"/>
          <w:sz w:val="23"/>
          <w:szCs w:val="23"/>
        </w:rPr>
      </w:pPr>
    </w:p>
    <w:p w:rsidR="00892661" w:rsidRDefault="00892661" w:rsidP="00137138">
      <w:pPr>
        <w:autoSpaceDE w:val="0"/>
        <w:autoSpaceDN w:val="0"/>
        <w:adjustRightInd w:val="0"/>
        <w:spacing w:after="0" w:line="240" w:lineRule="auto"/>
        <w:rPr>
          <w:rFonts w:ascii="Times New Roman" w:hAnsi="Times New Roman" w:cs="Times New Roman"/>
          <w:color w:val="000000"/>
          <w:sz w:val="23"/>
          <w:szCs w:val="23"/>
        </w:rPr>
      </w:pPr>
    </w:p>
    <w:p w:rsidR="00892661" w:rsidRDefault="00892661" w:rsidP="00137138">
      <w:pPr>
        <w:autoSpaceDE w:val="0"/>
        <w:autoSpaceDN w:val="0"/>
        <w:adjustRightInd w:val="0"/>
        <w:spacing w:after="0" w:line="240" w:lineRule="auto"/>
        <w:rPr>
          <w:rFonts w:ascii="Times New Roman" w:hAnsi="Times New Roman" w:cs="Times New Roman"/>
          <w:color w:val="000000"/>
          <w:sz w:val="23"/>
          <w:szCs w:val="23"/>
        </w:rPr>
      </w:pPr>
    </w:p>
    <w:p w:rsidR="0056133F" w:rsidRDefault="0056133F" w:rsidP="00137138">
      <w:pPr>
        <w:autoSpaceDE w:val="0"/>
        <w:autoSpaceDN w:val="0"/>
        <w:adjustRightInd w:val="0"/>
        <w:spacing w:after="0" w:line="240" w:lineRule="auto"/>
        <w:rPr>
          <w:rFonts w:ascii="Times New Roman" w:hAnsi="Times New Roman" w:cs="Times New Roman"/>
          <w:color w:val="000000"/>
          <w:sz w:val="23"/>
          <w:szCs w:val="23"/>
        </w:rPr>
      </w:pPr>
    </w:p>
    <w:p w:rsidR="00E832FC" w:rsidRDefault="00E832FC" w:rsidP="00137138">
      <w:pPr>
        <w:autoSpaceDE w:val="0"/>
        <w:autoSpaceDN w:val="0"/>
        <w:adjustRightInd w:val="0"/>
        <w:spacing w:after="0" w:line="240" w:lineRule="auto"/>
        <w:rPr>
          <w:rFonts w:ascii="Times New Roman" w:hAnsi="Times New Roman" w:cs="Times New Roman"/>
          <w:color w:val="000000"/>
          <w:sz w:val="23"/>
          <w:szCs w:val="23"/>
        </w:rPr>
      </w:pPr>
    </w:p>
    <w:p w:rsidR="00147FD2" w:rsidRDefault="00147FD2" w:rsidP="00137138">
      <w:pPr>
        <w:autoSpaceDE w:val="0"/>
        <w:autoSpaceDN w:val="0"/>
        <w:adjustRightInd w:val="0"/>
        <w:spacing w:after="0" w:line="240" w:lineRule="auto"/>
        <w:rPr>
          <w:rFonts w:ascii="Times New Roman" w:hAnsi="Times New Roman" w:cs="Times New Roman"/>
          <w:color w:val="000000"/>
          <w:sz w:val="23"/>
          <w:szCs w:val="23"/>
        </w:rPr>
      </w:pPr>
    </w:p>
    <w:p w:rsidR="00147FD2" w:rsidRDefault="00147FD2" w:rsidP="00137138">
      <w:pPr>
        <w:autoSpaceDE w:val="0"/>
        <w:autoSpaceDN w:val="0"/>
        <w:adjustRightInd w:val="0"/>
        <w:spacing w:after="0" w:line="240" w:lineRule="auto"/>
        <w:rPr>
          <w:rFonts w:ascii="Times New Roman" w:hAnsi="Times New Roman" w:cs="Times New Roman"/>
          <w:color w:val="000000"/>
          <w:sz w:val="23"/>
          <w:szCs w:val="23"/>
        </w:rPr>
      </w:pPr>
    </w:p>
    <w:p w:rsidR="00147FD2" w:rsidRDefault="00147FD2" w:rsidP="00137138">
      <w:pPr>
        <w:autoSpaceDE w:val="0"/>
        <w:autoSpaceDN w:val="0"/>
        <w:adjustRightInd w:val="0"/>
        <w:spacing w:after="0" w:line="240" w:lineRule="auto"/>
        <w:rPr>
          <w:rFonts w:ascii="Times New Roman" w:hAnsi="Times New Roman" w:cs="Times New Roman"/>
          <w:color w:val="000000"/>
          <w:sz w:val="23"/>
          <w:szCs w:val="23"/>
        </w:rPr>
      </w:pPr>
    </w:p>
    <w:p w:rsidR="00147FD2" w:rsidRDefault="00147FD2" w:rsidP="00137138">
      <w:pPr>
        <w:autoSpaceDE w:val="0"/>
        <w:autoSpaceDN w:val="0"/>
        <w:adjustRightInd w:val="0"/>
        <w:spacing w:after="0" w:line="240" w:lineRule="auto"/>
        <w:rPr>
          <w:rFonts w:ascii="Times New Roman" w:hAnsi="Times New Roman" w:cs="Times New Roman"/>
          <w:color w:val="000000"/>
          <w:sz w:val="23"/>
          <w:szCs w:val="23"/>
        </w:rPr>
      </w:pPr>
    </w:p>
    <w:p w:rsidR="00E832FC" w:rsidRDefault="00E832FC" w:rsidP="00137138">
      <w:pPr>
        <w:autoSpaceDE w:val="0"/>
        <w:autoSpaceDN w:val="0"/>
        <w:adjustRightInd w:val="0"/>
        <w:spacing w:after="0" w:line="240" w:lineRule="auto"/>
        <w:rPr>
          <w:rFonts w:ascii="Times New Roman" w:hAnsi="Times New Roman" w:cs="Times New Roman"/>
          <w:color w:val="000000"/>
          <w:sz w:val="23"/>
          <w:szCs w:val="23"/>
        </w:rPr>
      </w:pPr>
    </w:p>
    <w:p w:rsidR="0033269C" w:rsidRPr="00024A61" w:rsidRDefault="00970F38" w:rsidP="0056133F">
      <w:pPr>
        <w:pStyle w:val="Default"/>
        <w:rPr>
          <w:color w:val="auto"/>
          <w:sz w:val="28"/>
          <w:szCs w:val="28"/>
        </w:rPr>
      </w:pPr>
      <w:r w:rsidRPr="00024A61">
        <w:rPr>
          <w:color w:val="auto"/>
          <w:sz w:val="28"/>
          <w:szCs w:val="28"/>
        </w:rPr>
        <w:lastRenderedPageBreak/>
        <w:t>Codice di comportamento</w:t>
      </w:r>
    </w:p>
    <w:p w:rsidR="00F42E60" w:rsidRDefault="00F42E60" w:rsidP="00F42E60">
      <w:pPr>
        <w:pStyle w:val="Default"/>
        <w:ind w:left="720"/>
        <w:jc w:val="center"/>
      </w:pPr>
    </w:p>
    <w:p w:rsidR="00F42E60" w:rsidRDefault="00F42E60" w:rsidP="0056133F">
      <w:pPr>
        <w:pStyle w:val="Default"/>
        <w:rPr>
          <w:sz w:val="22"/>
          <w:szCs w:val="22"/>
        </w:rPr>
      </w:pPr>
      <w:r w:rsidRPr="00F42E60">
        <w:rPr>
          <w:sz w:val="22"/>
          <w:szCs w:val="22"/>
        </w:rPr>
        <w:t>Il Consiglio Direttivo dell’Ordine ha approvato con propria deliberazione n</w:t>
      </w:r>
      <w:r w:rsidR="00664BDC">
        <w:rPr>
          <w:sz w:val="22"/>
          <w:szCs w:val="22"/>
        </w:rPr>
        <w:t xml:space="preserve"> 61 del 22/12/2020 il</w:t>
      </w:r>
      <w:r>
        <w:rPr>
          <w:sz w:val="22"/>
          <w:szCs w:val="22"/>
        </w:rPr>
        <w:t xml:space="preserve"> Codice di Comportamento generale e il Codice di Comportamento specifico dei Dipendenti ai sensi del </w:t>
      </w:r>
      <w:r w:rsidR="00954263">
        <w:rPr>
          <w:sz w:val="22"/>
          <w:szCs w:val="22"/>
        </w:rPr>
        <w:t>DPR. 62/2013 pubblicato nella sezione “regolamento interno dipendenti”.</w:t>
      </w:r>
    </w:p>
    <w:p w:rsidR="00024A61" w:rsidRDefault="00954263" w:rsidP="007D30BD">
      <w:pPr>
        <w:pStyle w:val="Default"/>
        <w:rPr>
          <w:sz w:val="22"/>
          <w:szCs w:val="22"/>
        </w:rPr>
      </w:pPr>
      <w:r>
        <w:rPr>
          <w:sz w:val="22"/>
          <w:szCs w:val="22"/>
        </w:rPr>
        <w:t>Qualunque violazione del Codice di Comportamento deve essere denunciata al RPCT via posta elettronica e in formato cartaceo.</w:t>
      </w:r>
    </w:p>
    <w:p w:rsidR="00892661" w:rsidRDefault="00892661" w:rsidP="007D30BD">
      <w:pPr>
        <w:pStyle w:val="Default"/>
        <w:rPr>
          <w:sz w:val="22"/>
          <w:szCs w:val="22"/>
        </w:rPr>
      </w:pPr>
    </w:p>
    <w:p w:rsidR="00892661" w:rsidRDefault="00892661" w:rsidP="007D30BD">
      <w:pPr>
        <w:pStyle w:val="Default"/>
        <w:rPr>
          <w:sz w:val="22"/>
          <w:szCs w:val="22"/>
        </w:rPr>
      </w:pPr>
    </w:p>
    <w:p w:rsidR="0049467D" w:rsidRPr="00147FD2" w:rsidRDefault="00954263" w:rsidP="007D30BD">
      <w:pPr>
        <w:pStyle w:val="Default"/>
        <w:rPr>
          <w:sz w:val="28"/>
          <w:szCs w:val="28"/>
        </w:rPr>
      </w:pPr>
      <w:r w:rsidRPr="00024A61">
        <w:rPr>
          <w:color w:val="auto"/>
          <w:sz w:val="28"/>
          <w:szCs w:val="28"/>
        </w:rPr>
        <w:t>Disciplinare gli incarichi e le attività non consentite ai dipendenti e criteri di rotazione del personale</w:t>
      </w:r>
    </w:p>
    <w:p w:rsidR="00954263" w:rsidRDefault="00954263" w:rsidP="00954263">
      <w:pPr>
        <w:pStyle w:val="Default"/>
        <w:ind w:left="720"/>
        <w:jc w:val="center"/>
        <w:rPr>
          <w:sz w:val="22"/>
          <w:szCs w:val="22"/>
        </w:rPr>
      </w:pPr>
    </w:p>
    <w:p w:rsidR="009A39F1" w:rsidRDefault="00954263" w:rsidP="007D30BD">
      <w:pPr>
        <w:pStyle w:val="Default"/>
        <w:jc w:val="both"/>
        <w:rPr>
          <w:sz w:val="22"/>
          <w:szCs w:val="22"/>
        </w:rPr>
      </w:pPr>
      <w:r>
        <w:rPr>
          <w:sz w:val="22"/>
          <w:szCs w:val="22"/>
        </w:rPr>
        <w:t>Data la presenza di un solo dipendente non è prevista la rotazione del personale né l’elaborazione di un regolamento per disciplinare gli incarichi e le attivi</w:t>
      </w:r>
      <w:r w:rsidR="00121B61">
        <w:rPr>
          <w:sz w:val="22"/>
          <w:szCs w:val="22"/>
        </w:rPr>
        <w:t>tà non consentite ai dipendenti.</w:t>
      </w:r>
    </w:p>
    <w:p w:rsidR="009A39F1" w:rsidRDefault="009A39F1" w:rsidP="00D11246">
      <w:pPr>
        <w:pStyle w:val="Default"/>
        <w:ind w:left="720"/>
        <w:jc w:val="center"/>
        <w:rPr>
          <w:sz w:val="22"/>
          <w:szCs w:val="22"/>
        </w:rPr>
      </w:pPr>
    </w:p>
    <w:p w:rsidR="009A39F1" w:rsidRDefault="009A39F1" w:rsidP="00D11246">
      <w:pPr>
        <w:pStyle w:val="Default"/>
        <w:ind w:left="720"/>
        <w:jc w:val="center"/>
        <w:rPr>
          <w:sz w:val="22"/>
          <w:szCs w:val="22"/>
        </w:rPr>
      </w:pPr>
    </w:p>
    <w:p w:rsidR="003B4A92" w:rsidRDefault="003B4A92" w:rsidP="00D11246">
      <w:pPr>
        <w:pStyle w:val="Default"/>
        <w:ind w:left="720"/>
        <w:jc w:val="center"/>
        <w:rPr>
          <w:sz w:val="22"/>
          <w:szCs w:val="22"/>
        </w:rPr>
      </w:pPr>
    </w:p>
    <w:p w:rsidR="00D11246" w:rsidRPr="00024A61" w:rsidRDefault="00D11246" w:rsidP="007D30BD">
      <w:pPr>
        <w:pStyle w:val="Default"/>
        <w:rPr>
          <w:color w:val="auto"/>
          <w:sz w:val="28"/>
          <w:szCs w:val="28"/>
        </w:rPr>
      </w:pPr>
      <w:r w:rsidRPr="00024A61">
        <w:rPr>
          <w:color w:val="auto"/>
          <w:sz w:val="28"/>
          <w:szCs w:val="28"/>
        </w:rPr>
        <w:t>Misure per la tutela del dipendente che segnala illeciti</w:t>
      </w:r>
    </w:p>
    <w:p w:rsidR="00420159" w:rsidRPr="00147FD2" w:rsidRDefault="00F15416" w:rsidP="007D30BD">
      <w:pPr>
        <w:pStyle w:val="Default"/>
        <w:rPr>
          <w:color w:val="auto"/>
          <w:sz w:val="28"/>
          <w:szCs w:val="28"/>
        </w:rPr>
      </w:pPr>
      <w:r w:rsidRPr="00024A61">
        <w:rPr>
          <w:color w:val="auto"/>
          <w:sz w:val="28"/>
          <w:szCs w:val="28"/>
        </w:rPr>
        <w:t>(</w:t>
      </w:r>
      <w:proofErr w:type="spellStart"/>
      <w:r w:rsidRPr="00024A61">
        <w:rPr>
          <w:color w:val="auto"/>
          <w:sz w:val="28"/>
          <w:szCs w:val="28"/>
        </w:rPr>
        <w:t>Whistleblowing</w:t>
      </w:r>
      <w:proofErr w:type="spellEnd"/>
      <w:r w:rsidRPr="00024A61">
        <w:rPr>
          <w:color w:val="auto"/>
          <w:sz w:val="28"/>
          <w:szCs w:val="28"/>
        </w:rPr>
        <w:t xml:space="preserve"> )</w:t>
      </w:r>
    </w:p>
    <w:p w:rsidR="00420159" w:rsidRPr="007D30BD" w:rsidRDefault="00420159" w:rsidP="007D30BD">
      <w:pPr>
        <w:pStyle w:val="Default"/>
        <w:rPr>
          <w:color w:val="auto"/>
          <w:sz w:val="22"/>
          <w:szCs w:val="22"/>
        </w:rPr>
      </w:pPr>
    </w:p>
    <w:p w:rsidR="003B4A92" w:rsidRDefault="003B4A92" w:rsidP="00420159">
      <w:pPr>
        <w:pStyle w:val="Default"/>
        <w:jc w:val="both"/>
        <w:rPr>
          <w:sz w:val="22"/>
          <w:szCs w:val="22"/>
        </w:rPr>
      </w:pPr>
      <w:r>
        <w:rPr>
          <w:sz w:val="22"/>
          <w:szCs w:val="22"/>
        </w:rPr>
        <w:t>Il Consiglio dell’Ordine, sotto il controllo del RPCT, verifica che non sussistano pendenze penali a carico del dipendente .</w:t>
      </w:r>
    </w:p>
    <w:p w:rsidR="0049467D" w:rsidRDefault="0049467D" w:rsidP="00420159">
      <w:pPr>
        <w:pStyle w:val="Default"/>
        <w:jc w:val="both"/>
        <w:rPr>
          <w:sz w:val="22"/>
          <w:szCs w:val="22"/>
        </w:rPr>
      </w:pPr>
    </w:p>
    <w:p w:rsidR="00D11246" w:rsidRPr="0049467D" w:rsidRDefault="003B4A92" w:rsidP="00420159">
      <w:pPr>
        <w:pStyle w:val="Default"/>
        <w:jc w:val="both"/>
      </w:pPr>
      <w:r w:rsidRPr="0049467D">
        <w:t>Tutela  il dipendente che segnala illeciti e casi di corruzione secondo la norma che prevede:</w:t>
      </w:r>
    </w:p>
    <w:p w:rsidR="003B4A92" w:rsidRDefault="003B4A92" w:rsidP="00954263">
      <w:pPr>
        <w:pStyle w:val="Default"/>
        <w:ind w:left="720"/>
        <w:rPr>
          <w:sz w:val="22"/>
          <w:szCs w:val="22"/>
        </w:rPr>
      </w:pPr>
    </w:p>
    <w:p w:rsidR="00D11246" w:rsidRDefault="00D11246" w:rsidP="00954263">
      <w:pPr>
        <w:pStyle w:val="Default"/>
        <w:ind w:left="720"/>
        <w:rPr>
          <w:sz w:val="22"/>
          <w:szCs w:val="22"/>
        </w:rPr>
      </w:pPr>
    </w:p>
    <w:p w:rsidR="00D11246" w:rsidRPr="00D11246" w:rsidRDefault="00D11246" w:rsidP="00D11246">
      <w:pPr>
        <w:autoSpaceDE w:val="0"/>
        <w:autoSpaceDN w:val="0"/>
        <w:adjustRightInd w:val="0"/>
        <w:spacing w:after="0" w:line="240" w:lineRule="auto"/>
        <w:rPr>
          <w:rFonts w:ascii="Times New Roman" w:hAnsi="Times New Roman" w:cs="Times New Roman"/>
          <w:color w:val="000000"/>
          <w:sz w:val="23"/>
          <w:szCs w:val="23"/>
        </w:rPr>
      </w:pPr>
      <w:r w:rsidRPr="00D11246">
        <w:rPr>
          <w:rFonts w:ascii="Times New Roman" w:hAnsi="Times New Roman" w:cs="Times New Roman"/>
          <w:color w:val="000000"/>
          <w:sz w:val="23"/>
          <w:szCs w:val="23"/>
        </w:rPr>
        <w:t>“</w:t>
      </w:r>
      <w:r w:rsidRPr="00D11246">
        <w:rPr>
          <w:rFonts w:ascii="Times New Roman" w:hAnsi="Times New Roman" w:cs="Times New Roman"/>
          <w:i/>
          <w:iCs/>
          <w:color w:val="000000"/>
          <w:sz w:val="23"/>
          <w:szCs w:val="23"/>
        </w:rPr>
        <w:t xml:space="preserve">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w:t>
      </w:r>
    </w:p>
    <w:p w:rsidR="00D11246" w:rsidRPr="00D11246" w:rsidRDefault="00D11246" w:rsidP="00D11246">
      <w:pPr>
        <w:autoSpaceDE w:val="0"/>
        <w:autoSpaceDN w:val="0"/>
        <w:adjustRightInd w:val="0"/>
        <w:spacing w:after="0" w:line="240" w:lineRule="auto"/>
        <w:rPr>
          <w:rFonts w:ascii="Times New Roman" w:hAnsi="Times New Roman" w:cs="Times New Roman"/>
          <w:color w:val="000000"/>
          <w:sz w:val="23"/>
          <w:szCs w:val="23"/>
        </w:rPr>
      </w:pPr>
      <w:r w:rsidRPr="00D11246">
        <w:rPr>
          <w:rFonts w:ascii="Times New Roman" w:hAnsi="Times New Roman" w:cs="Times New Roman"/>
          <w:i/>
          <w:iCs/>
          <w:color w:val="000000"/>
          <w:sz w:val="23"/>
          <w:szCs w:val="23"/>
        </w:rPr>
        <w:t xml:space="preserve">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w:t>
      </w:r>
    </w:p>
    <w:p w:rsidR="00D11246" w:rsidRPr="00D11246" w:rsidRDefault="00D11246" w:rsidP="00D11246">
      <w:pPr>
        <w:autoSpaceDE w:val="0"/>
        <w:autoSpaceDN w:val="0"/>
        <w:adjustRightInd w:val="0"/>
        <w:spacing w:after="0" w:line="240" w:lineRule="auto"/>
        <w:rPr>
          <w:rFonts w:ascii="Times New Roman" w:hAnsi="Times New Roman" w:cs="Times New Roman"/>
          <w:color w:val="000000"/>
          <w:sz w:val="23"/>
          <w:szCs w:val="23"/>
        </w:rPr>
      </w:pPr>
      <w:r w:rsidRPr="00D11246">
        <w:rPr>
          <w:rFonts w:ascii="Times New Roman" w:hAnsi="Times New Roman" w:cs="Times New Roman"/>
          <w:i/>
          <w:iCs/>
          <w:color w:val="000000"/>
          <w:sz w:val="23"/>
          <w:szCs w:val="23"/>
        </w:rPr>
        <w:t xml:space="preserve">3. L'adozione di misure discriminatorie è segnalata al Dipartimento della funzione pubblica, per i provvedimenti di competenza, dall'interessato o dalle organizzazioni sindacali maggiormente rappresentative nell'amministrazione nella quale le stesse sono state poste in essere. </w:t>
      </w:r>
    </w:p>
    <w:p w:rsidR="00954263" w:rsidRDefault="00D11246" w:rsidP="00024A61">
      <w:pPr>
        <w:pStyle w:val="Default"/>
        <w:rPr>
          <w:sz w:val="22"/>
          <w:szCs w:val="22"/>
        </w:rPr>
      </w:pPr>
      <w:r w:rsidRPr="00D11246">
        <w:rPr>
          <w:i/>
          <w:iCs/>
          <w:sz w:val="23"/>
          <w:szCs w:val="23"/>
        </w:rPr>
        <w:t>4. La denuncia è sottratta all'accesso previsto dagli articoli 22 e seguenti della legge 7 agosto 1990, n. 241, e successive modificazioni.</w:t>
      </w:r>
      <w:r w:rsidRPr="00D11246">
        <w:rPr>
          <w:sz w:val="23"/>
          <w:szCs w:val="23"/>
        </w:rPr>
        <w:t>”.</w:t>
      </w:r>
    </w:p>
    <w:p w:rsidR="00954263" w:rsidRDefault="00954263" w:rsidP="00F42E60">
      <w:pPr>
        <w:pStyle w:val="Default"/>
        <w:ind w:left="720"/>
        <w:rPr>
          <w:sz w:val="22"/>
          <w:szCs w:val="22"/>
        </w:rPr>
      </w:pPr>
    </w:p>
    <w:p w:rsidR="000F4517" w:rsidRDefault="000F4517" w:rsidP="00BE4863">
      <w:pPr>
        <w:pStyle w:val="Default"/>
        <w:rPr>
          <w:sz w:val="22"/>
          <w:szCs w:val="22"/>
        </w:rPr>
      </w:pPr>
      <w:r>
        <w:rPr>
          <w:sz w:val="22"/>
          <w:szCs w:val="22"/>
        </w:rPr>
        <w:t>La segnalazione di illeciti o di atti di corruzione deve essere inviata al RPCT per mezzo di e-mail e documento cartaceo.</w:t>
      </w:r>
    </w:p>
    <w:p w:rsidR="00065072" w:rsidRDefault="00065072" w:rsidP="00147FD2">
      <w:pPr>
        <w:pStyle w:val="Default"/>
        <w:rPr>
          <w:sz w:val="22"/>
          <w:szCs w:val="22"/>
        </w:rPr>
      </w:pPr>
    </w:p>
    <w:p w:rsidR="000F4517" w:rsidRDefault="00065072" w:rsidP="00BE4863">
      <w:pPr>
        <w:pStyle w:val="Default"/>
        <w:rPr>
          <w:color w:val="auto"/>
          <w:sz w:val="28"/>
          <w:szCs w:val="28"/>
        </w:rPr>
      </w:pPr>
      <w:r w:rsidRPr="00354696">
        <w:rPr>
          <w:color w:val="auto"/>
          <w:sz w:val="28"/>
          <w:szCs w:val="28"/>
        </w:rPr>
        <w:t>Verifica dell’insussistenza di cause di incompatibilità al conferimento di incarichi dirigenziali</w:t>
      </w:r>
    </w:p>
    <w:p w:rsidR="00147FD2" w:rsidRPr="00354696" w:rsidRDefault="00147FD2" w:rsidP="00BE4863">
      <w:pPr>
        <w:pStyle w:val="Default"/>
        <w:rPr>
          <w:color w:val="auto"/>
          <w:sz w:val="28"/>
          <w:szCs w:val="28"/>
        </w:rPr>
      </w:pPr>
    </w:p>
    <w:p w:rsidR="00065072" w:rsidRPr="00147FD2" w:rsidRDefault="00065072" w:rsidP="00147FD2">
      <w:pPr>
        <w:pStyle w:val="Default"/>
        <w:rPr>
          <w:sz w:val="22"/>
          <w:szCs w:val="22"/>
        </w:rPr>
      </w:pPr>
      <w:r>
        <w:rPr>
          <w:sz w:val="22"/>
          <w:szCs w:val="22"/>
        </w:rPr>
        <w:t>All’interno dell’Ente non è prevista alcuna figura dirigenziale avendo, come già sopra specificato, un solo dipendente.</w:t>
      </w:r>
    </w:p>
    <w:p w:rsidR="00065072" w:rsidRDefault="00065072" w:rsidP="000F4517">
      <w:pPr>
        <w:pStyle w:val="Default"/>
        <w:ind w:left="720"/>
        <w:rPr>
          <w:b/>
          <w:sz w:val="22"/>
          <w:szCs w:val="22"/>
        </w:rPr>
      </w:pPr>
    </w:p>
    <w:p w:rsidR="00065072" w:rsidRPr="006A3BEC" w:rsidRDefault="00065072" w:rsidP="00354696">
      <w:pPr>
        <w:pStyle w:val="Default"/>
        <w:rPr>
          <w:b/>
          <w:sz w:val="22"/>
          <w:szCs w:val="22"/>
        </w:rPr>
      </w:pPr>
    </w:p>
    <w:p w:rsidR="00463798" w:rsidRDefault="006A3BEC" w:rsidP="006A3BEC">
      <w:pPr>
        <w:pStyle w:val="Default"/>
        <w:ind w:left="720"/>
        <w:jc w:val="center"/>
        <w:rPr>
          <w:b/>
          <w:sz w:val="22"/>
          <w:szCs w:val="22"/>
        </w:rPr>
      </w:pPr>
      <w:r w:rsidRPr="00463798">
        <w:rPr>
          <w:b/>
          <w:sz w:val="28"/>
          <w:szCs w:val="28"/>
        </w:rPr>
        <w:lastRenderedPageBreak/>
        <w:t>TRASPARENZA</w:t>
      </w:r>
      <w:r>
        <w:rPr>
          <w:b/>
          <w:sz w:val="22"/>
          <w:szCs w:val="22"/>
        </w:rPr>
        <w:t xml:space="preserve">: </w:t>
      </w:r>
    </w:p>
    <w:p w:rsidR="006A3BEC" w:rsidRDefault="006A3BEC" w:rsidP="006A3BEC">
      <w:pPr>
        <w:pStyle w:val="Default"/>
        <w:ind w:left="720"/>
        <w:jc w:val="center"/>
        <w:rPr>
          <w:b/>
        </w:rPr>
      </w:pPr>
      <w:r w:rsidRPr="00463798">
        <w:rPr>
          <w:b/>
        </w:rPr>
        <w:t>programma triennale per la Trasparenza e l’integrità amministrativa</w:t>
      </w:r>
    </w:p>
    <w:p w:rsidR="00463798" w:rsidRDefault="00463798" w:rsidP="006A3BEC">
      <w:pPr>
        <w:pStyle w:val="Default"/>
        <w:ind w:left="720"/>
        <w:jc w:val="center"/>
        <w:rPr>
          <w:b/>
        </w:rPr>
      </w:pPr>
    </w:p>
    <w:p w:rsidR="00463798" w:rsidRPr="00463798" w:rsidRDefault="00463798" w:rsidP="006A3BEC">
      <w:pPr>
        <w:pStyle w:val="Default"/>
        <w:ind w:left="720"/>
        <w:jc w:val="center"/>
        <w:rPr>
          <w:b/>
        </w:rPr>
      </w:pPr>
    </w:p>
    <w:p w:rsidR="006A3BEC" w:rsidRDefault="006A3BEC" w:rsidP="000F4517">
      <w:pPr>
        <w:pStyle w:val="Default"/>
        <w:ind w:left="720"/>
        <w:rPr>
          <w:sz w:val="22"/>
          <w:szCs w:val="22"/>
        </w:rPr>
      </w:pPr>
    </w:p>
    <w:p w:rsidR="006A3BEC" w:rsidRDefault="006A3BEC" w:rsidP="000F4517">
      <w:pPr>
        <w:pStyle w:val="Default"/>
        <w:ind w:left="720"/>
        <w:rPr>
          <w:sz w:val="22"/>
          <w:szCs w:val="22"/>
        </w:rPr>
      </w:pPr>
      <w:r>
        <w:rPr>
          <w:sz w:val="22"/>
          <w:szCs w:val="22"/>
        </w:rPr>
        <w:t xml:space="preserve">Il Consiglio dell’Ordine ha redatto il programma triennale per la trasparenza e l’integrità ed ha attribuito l’incarico di controllo al RPCT, il consigliere Dott.ssa Laura Moretti con </w:t>
      </w:r>
      <w:r w:rsidR="00852D54">
        <w:rPr>
          <w:sz w:val="22"/>
          <w:szCs w:val="22"/>
        </w:rPr>
        <w:t>delibera n 18 del 19/05/2021</w:t>
      </w:r>
    </w:p>
    <w:p w:rsidR="006A3BEC" w:rsidRDefault="006A3BEC" w:rsidP="000F4517">
      <w:pPr>
        <w:pStyle w:val="Default"/>
        <w:ind w:left="720"/>
        <w:rPr>
          <w:sz w:val="22"/>
          <w:szCs w:val="22"/>
        </w:rPr>
      </w:pPr>
    </w:p>
    <w:p w:rsidR="006A3BEC" w:rsidRPr="00354696" w:rsidRDefault="006A3BEC" w:rsidP="00354696">
      <w:pPr>
        <w:pStyle w:val="Default"/>
        <w:ind w:left="720"/>
        <w:rPr>
          <w:color w:val="auto"/>
          <w:sz w:val="28"/>
          <w:szCs w:val="28"/>
        </w:rPr>
      </w:pPr>
      <w:r w:rsidRPr="00354696">
        <w:rPr>
          <w:color w:val="auto"/>
          <w:sz w:val="28"/>
          <w:szCs w:val="28"/>
        </w:rPr>
        <w:t>Obiettivi</w:t>
      </w:r>
    </w:p>
    <w:p w:rsidR="00A863A0" w:rsidRDefault="00A863A0" w:rsidP="006A3BEC">
      <w:pPr>
        <w:pStyle w:val="Default"/>
        <w:ind w:left="720"/>
        <w:jc w:val="center"/>
        <w:rPr>
          <w:sz w:val="22"/>
          <w:szCs w:val="22"/>
        </w:rPr>
      </w:pPr>
    </w:p>
    <w:p w:rsidR="00951AAC" w:rsidRDefault="00951AAC" w:rsidP="00970F38">
      <w:pPr>
        <w:pStyle w:val="Default"/>
        <w:ind w:left="720"/>
        <w:rPr>
          <w:sz w:val="22"/>
          <w:szCs w:val="22"/>
        </w:rPr>
      </w:pPr>
      <w:r>
        <w:rPr>
          <w:sz w:val="22"/>
          <w:szCs w:val="22"/>
        </w:rPr>
        <w:t>La presente sezione  disciplina le modalità che l’Ordine deve adottare per g</w:t>
      </w:r>
      <w:r w:rsidR="006A3BEC">
        <w:rPr>
          <w:sz w:val="22"/>
          <w:szCs w:val="22"/>
        </w:rPr>
        <w:t xml:space="preserve">arantire la massima trasparenza </w:t>
      </w:r>
      <w:r w:rsidR="00A863A0">
        <w:rPr>
          <w:sz w:val="22"/>
          <w:szCs w:val="22"/>
        </w:rPr>
        <w:t xml:space="preserve"> della propria attività</w:t>
      </w:r>
      <w:r>
        <w:rPr>
          <w:sz w:val="22"/>
          <w:szCs w:val="22"/>
        </w:rPr>
        <w:t>,</w:t>
      </w:r>
      <w:r w:rsidR="00A863A0">
        <w:rPr>
          <w:sz w:val="22"/>
          <w:szCs w:val="22"/>
        </w:rPr>
        <w:t xml:space="preserve"> intendendo la trasparenza</w:t>
      </w:r>
      <w:r>
        <w:rPr>
          <w:sz w:val="22"/>
          <w:szCs w:val="22"/>
        </w:rPr>
        <w:t xml:space="preserve">, </w:t>
      </w:r>
      <w:r w:rsidR="00A863A0">
        <w:rPr>
          <w:sz w:val="22"/>
          <w:szCs w:val="22"/>
        </w:rPr>
        <w:t xml:space="preserve">come accessibilità totale, soprattutto attraverso la pubblicazione sul sito istituzionale dell’Ordine delle informazioni che riguardano le  principali attività, gli aspetti dell’organizzazione, </w:t>
      </w:r>
      <w:r>
        <w:rPr>
          <w:sz w:val="22"/>
          <w:szCs w:val="22"/>
        </w:rPr>
        <w:t>della vigilanza  e di controllo.</w:t>
      </w:r>
    </w:p>
    <w:p w:rsidR="00970F38" w:rsidRDefault="00951AAC" w:rsidP="00970F38">
      <w:pPr>
        <w:pStyle w:val="Default"/>
        <w:ind w:left="720"/>
        <w:rPr>
          <w:sz w:val="22"/>
          <w:szCs w:val="22"/>
        </w:rPr>
      </w:pPr>
      <w:r>
        <w:rPr>
          <w:sz w:val="22"/>
          <w:szCs w:val="22"/>
        </w:rPr>
        <w:t xml:space="preserve">Questi sono </w:t>
      </w:r>
      <w:r w:rsidR="00F40656">
        <w:rPr>
          <w:sz w:val="22"/>
          <w:szCs w:val="22"/>
        </w:rPr>
        <w:t>rilevabili nella specifica sezio</w:t>
      </w:r>
      <w:r>
        <w:rPr>
          <w:sz w:val="22"/>
          <w:szCs w:val="22"/>
        </w:rPr>
        <w:t>ne “Amministrazione Trasparente”.</w:t>
      </w:r>
    </w:p>
    <w:p w:rsidR="00707E7B" w:rsidRDefault="00707E7B" w:rsidP="00970F38">
      <w:pPr>
        <w:pStyle w:val="Default"/>
        <w:ind w:left="720"/>
        <w:rPr>
          <w:sz w:val="22"/>
          <w:szCs w:val="22"/>
        </w:rPr>
      </w:pPr>
    </w:p>
    <w:p w:rsidR="00707E7B" w:rsidRDefault="00707E7B" w:rsidP="00970F38">
      <w:pPr>
        <w:pStyle w:val="Default"/>
        <w:ind w:left="720"/>
        <w:rPr>
          <w:sz w:val="22"/>
          <w:szCs w:val="22"/>
        </w:rPr>
      </w:pPr>
    </w:p>
    <w:p w:rsidR="00A863A0" w:rsidRPr="00354696" w:rsidRDefault="00354696" w:rsidP="00354696">
      <w:pPr>
        <w:pStyle w:val="Default"/>
        <w:ind w:left="720"/>
        <w:rPr>
          <w:color w:val="C0504D" w:themeColor="accent2"/>
          <w:sz w:val="28"/>
          <w:szCs w:val="28"/>
        </w:rPr>
      </w:pPr>
      <w:r w:rsidRPr="00354696">
        <w:rPr>
          <w:color w:val="auto"/>
          <w:sz w:val="28"/>
          <w:szCs w:val="28"/>
        </w:rPr>
        <w:t>Accesso civico</w:t>
      </w:r>
      <w:r w:rsidR="008A64DE" w:rsidRPr="00354696">
        <w:rPr>
          <w:color w:val="C0504D" w:themeColor="accent2"/>
          <w:sz w:val="28"/>
          <w:szCs w:val="28"/>
        </w:rPr>
        <w:tab/>
      </w:r>
      <w:r w:rsidR="008A64DE" w:rsidRPr="00354696">
        <w:rPr>
          <w:color w:val="C0504D" w:themeColor="accent2"/>
          <w:sz w:val="28"/>
          <w:szCs w:val="28"/>
        </w:rPr>
        <w:tab/>
      </w:r>
      <w:r w:rsidR="008A64DE" w:rsidRPr="00354696">
        <w:rPr>
          <w:color w:val="C0504D" w:themeColor="accent2"/>
          <w:sz w:val="28"/>
          <w:szCs w:val="28"/>
        </w:rPr>
        <w:tab/>
      </w:r>
      <w:r w:rsidR="008A64DE" w:rsidRPr="00354696">
        <w:rPr>
          <w:color w:val="C0504D" w:themeColor="accent2"/>
          <w:sz w:val="28"/>
          <w:szCs w:val="28"/>
        </w:rPr>
        <w:tab/>
      </w:r>
      <w:r w:rsidR="000C3F3F" w:rsidRPr="00354696">
        <w:rPr>
          <w:color w:val="C0504D" w:themeColor="accent2"/>
          <w:sz w:val="28"/>
          <w:szCs w:val="28"/>
        </w:rPr>
        <w:tab/>
      </w:r>
    </w:p>
    <w:p w:rsidR="00845E9B" w:rsidRDefault="00845E9B" w:rsidP="00845E9B">
      <w:pPr>
        <w:pStyle w:val="Default"/>
        <w:ind w:left="720"/>
        <w:jc w:val="center"/>
      </w:pPr>
    </w:p>
    <w:p w:rsidR="00845E9B" w:rsidRDefault="00845E9B" w:rsidP="00845E9B">
      <w:pPr>
        <w:pStyle w:val="Default"/>
        <w:ind w:left="720"/>
      </w:pPr>
      <w:r>
        <w:t xml:space="preserve">L’accesso civico agli atti prevede l’obbligo per l’Ordine di rendere noti i documenti , le informazioni i dati così come disciplinato dal </w:t>
      </w:r>
      <w:proofErr w:type="spellStart"/>
      <w:r>
        <w:t>D.Lvo</w:t>
      </w:r>
      <w:proofErr w:type="spellEnd"/>
      <w:r>
        <w:t xml:space="preserve"> n°33/2013, attraverso la pubblicazione sul proprio sito istituzionale</w:t>
      </w:r>
      <w:r w:rsidR="00FA2EE6">
        <w:t xml:space="preserve"> nella sezione “ Amministrazione Trasparente” </w:t>
      </w:r>
      <w:r>
        <w:t>e di fornirli, a chiunque li richieda,</w:t>
      </w:r>
      <w:r w:rsidR="00FA2EE6">
        <w:t xml:space="preserve"> senza l’obbligo di autenticazione ed identificazione e a titolo gratuito,</w:t>
      </w:r>
      <w:r>
        <w:t xml:space="preserve"> qualora non siano stati pubblicati.</w:t>
      </w:r>
    </w:p>
    <w:p w:rsidR="00FA2EE6" w:rsidRDefault="00FA2EE6" w:rsidP="00845E9B">
      <w:pPr>
        <w:pStyle w:val="Default"/>
        <w:ind w:left="720"/>
      </w:pPr>
      <w:r>
        <w:t>In questo caso il Responsabile, entro 30 giorni, provvede alla pubblicazione sul sito del documento richiesto e informa tempestivamente il richiedente.</w:t>
      </w:r>
    </w:p>
    <w:p w:rsidR="000C3F3F" w:rsidRDefault="000C3F3F" w:rsidP="00845E9B">
      <w:pPr>
        <w:pStyle w:val="Default"/>
        <w:ind w:left="720"/>
      </w:pPr>
    </w:p>
    <w:p w:rsidR="00DE66E5" w:rsidRPr="00354696" w:rsidRDefault="000C3F3F" w:rsidP="00354696">
      <w:pPr>
        <w:pStyle w:val="Default"/>
        <w:jc w:val="both"/>
        <w:rPr>
          <w:color w:val="C0504D" w:themeColor="accent2"/>
          <w:sz w:val="28"/>
          <w:szCs w:val="28"/>
        </w:rPr>
      </w:pPr>
      <w:r>
        <w:rPr>
          <w:color w:val="C0504D" w:themeColor="accent2"/>
          <w:sz w:val="23"/>
          <w:szCs w:val="23"/>
        </w:rPr>
        <w:tab/>
      </w:r>
      <w:r w:rsidR="00354696" w:rsidRPr="00354696">
        <w:rPr>
          <w:color w:val="auto"/>
          <w:sz w:val="28"/>
          <w:szCs w:val="28"/>
        </w:rPr>
        <w:t>Misure organizzative</w:t>
      </w:r>
      <w:r>
        <w:rPr>
          <w:color w:val="C0504D" w:themeColor="accent2"/>
          <w:sz w:val="23"/>
          <w:szCs w:val="23"/>
        </w:rPr>
        <w:tab/>
      </w:r>
    </w:p>
    <w:p w:rsidR="00DE66E5" w:rsidRDefault="00DE66E5" w:rsidP="00DE66E5">
      <w:pPr>
        <w:pStyle w:val="Default"/>
        <w:jc w:val="both"/>
        <w:rPr>
          <w:sz w:val="23"/>
          <w:szCs w:val="23"/>
        </w:rPr>
      </w:pPr>
    </w:p>
    <w:p w:rsidR="00DE66E5" w:rsidRDefault="00DE66E5" w:rsidP="00845E9B">
      <w:pPr>
        <w:pStyle w:val="Default"/>
        <w:ind w:left="720"/>
      </w:pPr>
      <w:r>
        <w:t>In occasione dell’assemblea annuale degli iscritti, il Consiglio fornisce le informazioni sul programma triennale per la trasparenza e l’integrità amministrativa e sul piano triennale di prevenzione della corruzione.</w:t>
      </w:r>
    </w:p>
    <w:p w:rsidR="00DE66E5" w:rsidRDefault="00DE66E5" w:rsidP="00845E9B">
      <w:pPr>
        <w:pStyle w:val="Default"/>
        <w:ind w:left="720"/>
      </w:pPr>
      <w:r>
        <w:t>Pubblica sul sito istituzionale attraverso il bilancio preven</w:t>
      </w:r>
      <w:r w:rsidR="008A64DE">
        <w:t xml:space="preserve">tivo, la programmazione </w:t>
      </w:r>
      <w:r>
        <w:t xml:space="preserve">degli acquisti e delle spese di gestione.  </w:t>
      </w:r>
    </w:p>
    <w:p w:rsidR="00707E7B" w:rsidRDefault="00707E7B" w:rsidP="00845E9B">
      <w:pPr>
        <w:pStyle w:val="Default"/>
        <w:ind w:left="720"/>
      </w:pPr>
    </w:p>
    <w:p w:rsidR="00DE66E5" w:rsidRDefault="00DE66E5" w:rsidP="00845E9B">
      <w:pPr>
        <w:pStyle w:val="Default"/>
        <w:ind w:left="720"/>
      </w:pPr>
    </w:p>
    <w:p w:rsidR="00DE66E5" w:rsidRDefault="00DE66E5" w:rsidP="00845E9B">
      <w:pPr>
        <w:pStyle w:val="Default"/>
        <w:ind w:left="720"/>
      </w:pPr>
    </w:p>
    <w:tbl>
      <w:tblPr>
        <w:tblW w:w="0" w:type="auto"/>
        <w:tblBorders>
          <w:top w:val="nil"/>
          <w:left w:val="nil"/>
          <w:bottom w:val="nil"/>
          <w:right w:val="nil"/>
        </w:tblBorders>
        <w:tblLayout w:type="fixed"/>
        <w:tblLook w:val="0000"/>
      </w:tblPr>
      <w:tblGrid>
        <w:gridCol w:w="2531"/>
        <w:gridCol w:w="2531"/>
        <w:gridCol w:w="2531"/>
        <w:gridCol w:w="2531"/>
      </w:tblGrid>
      <w:tr w:rsidR="0033269C">
        <w:trPr>
          <w:trHeight w:val="245"/>
        </w:trPr>
        <w:tc>
          <w:tcPr>
            <w:tcW w:w="2531" w:type="dxa"/>
          </w:tcPr>
          <w:p w:rsidR="0033269C" w:rsidRDefault="0033269C" w:rsidP="00450D53">
            <w:pPr>
              <w:pStyle w:val="Default"/>
              <w:rPr>
                <w:sz w:val="23"/>
                <w:szCs w:val="23"/>
              </w:rPr>
            </w:pPr>
          </w:p>
          <w:p w:rsidR="00450D53" w:rsidRDefault="00450D53" w:rsidP="00450D53">
            <w:pPr>
              <w:pStyle w:val="Default"/>
              <w:jc w:val="both"/>
              <w:rPr>
                <w:sz w:val="23"/>
                <w:szCs w:val="23"/>
              </w:rPr>
            </w:pPr>
          </w:p>
          <w:p w:rsidR="00450D53" w:rsidRDefault="00450D53" w:rsidP="00450D53">
            <w:pPr>
              <w:pStyle w:val="Default"/>
              <w:jc w:val="both"/>
              <w:rPr>
                <w:sz w:val="23"/>
                <w:szCs w:val="23"/>
              </w:rPr>
            </w:pPr>
          </w:p>
        </w:tc>
        <w:tc>
          <w:tcPr>
            <w:tcW w:w="2531" w:type="dxa"/>
          </w:tcPr>
          <w:p w:rsidR="0033269C" w:rsidRDefault="0033269C" w:rsidP="00450D53">
            <w:pPr>
              <w:pStyle w:val="Default"/>
              <w:jc w:val="center"/>
              <w:rPr>
                <w:sz w:val="23"/>
                <w:szCs w:val="23"/>
              </w:rPr>
            </w:pPr>
          </w:p>
        </w:tc>
        <w:tc>
          <w:tcPr>
            <w:tcW w:w="2531" w:type="dxa"/>
          </w:tcPr>
          <w:p w:rsidR="00450D53" w:rsidRDefault="00450D53" w:rsidP="00450D53">
            <w:pPr>
              <w:pStyle w:val="Default"/>
              <w:jc w:val="both"/>
              <w:rPr>
                <w:sz w:val="23"/>
                <w:szCs w:val="23"/>
              </w:rPr>
            </w:pPr>
          </w:p>
          <w:p w:rsidR="00845E9B" w:rsidRDefault="00845E9B" w:rsidP="00450D53">
            <w:pPr>
              <w:pStyle w:val="Default"/>
              <w:jc w:val="both"/>
              <w:rPr>
                <w:sz w:val="23"/>
                <w:szCs w:val="23"/>
              </w:rPr>
            </w:pPr>
          </w:p>
          <w:p w:rsidR="00845E9B" w:rsidRDefault="00845E9B">
            <w:pPr>
              <w:pStyle w:val="Default"/>
              <w:rPr>
                <w:sz w:val="23"/>
                <w:szCs w:val="23"/>
              </w:rPr>
            </w:pPr>
          </w:p>
        </w:tc>
        <w:tc>
          <w:tcPr>
            <w:tcW w:w="2531" w:type="dxa"/>
          </w:tcPr>
          <w:p w:rsidR="0033269C" w:rsidRDefault="0033269C">
            <w:pPr>
              <w:pStyle w:val="Default"/>
              <w:rPr>
                <w:sz w:val="23"/>
                <w:szCs w:val="23"/>
              </w:rPr>
            </w:pPr>
          </w:p>
          <w:p w:rsidR="00450D53" w:rsidRDefault="00450D53" w:rsidP="00450D53">
            <w:pPr>
              <w:pStyle w:val="Default"/>
              <w:rPr>
                <w:sz w:val="23"/>
                <w:szCs w:val="23"/>
              </w:rPr>
            </w:pPr>
          </w:p>
        </w:tc>
      </w:tr>
      <w:tr w:rsidR="0033269C" w:rsidTr="00DE66E5">
        <w:trPr>
          <w:trHeight w:val="1846"/>
        </w:trPr>
        <w:tc>
          <w:tcPr>
            <w:tcW w:w="2531" w:type="dxa"/>
          </w:tcPr>
          <w:p w:rsidR="0033269C" w:rsidRDefault="0033269C">
            <w:pPr>
              <w:pStyle w:val="Default"/>
              <w:rPr>
                <w:sz w:val="23"/>
                <w:szCs w:val="23"/>
              </w:rPr>
            </w:pPr>
          </w:p>
        </w:tc>
        <w:tc>
          <w:tcPr>
            <w:tcW w:w="2531" w:type="dxa"/>
          </w:tcPr>
          <w:p w:rsidR="0033269C" w:rsidRDefault="0033269C" w:rsidP="00A863A0">
            <w:pPr>
              <w:pStyle w:val="Default"/>
              <w:jc w:val="both"/>
              <w:rPr>
                <w:sz w:val="23"/>
                <w:szCs w:val="23"/>
              </w:rPr>
            </w:pPr>
          </w:p>
        </w:tc>
        <w:tc>
          <w:tcPr>
            <w:tcW w:w="2531" w:type="dxa"/>
          </w:tcPr>
          <w:p w:rsidR="0033269C" w:rsidRDefault="0033269C">
            <w:pPr>
              <w:pStyle w:val="Default"/>
              <w:rPr>
                <w:sz w:val="23"/>
                <w:szCs w:val="23"/>
              </w:rPr>
            </w:pPr>
          </w:p>
        </w:tc>
        <w:tc>
          <w:tcPr>
            <w:tcW w:w="2531" w:type="dxa"/>
          </w:tcPr>
          <w:p w:rsidR="0033269C" w:rsidRDefault="0033269C">
            <w:pPr>
              <w:pStyle w:val="Default"/>
              <w:rPr>
                <w:sz w:val="23"/>
                <w:szCs w:val="23"/>
              </w:rPr>
            </w:pPr>
          </w:p>
        </w:tc>
      </w:tr>
      <w:tr w:rsidR="0033269C">
        <w:trPr>
          <w:trHeight w:val="247"/>
        </w:trPr>
        <w:tc>
          <w:tcPr>
            <w:tcW w:w="5062" w:type="dxa"/>
            <w:gridSpan w:val="2"/>
          </w:tcPr>
          <w:p w:rsidR="006A3BEC" w:rsidRPr="006A3BEC" w:rsidRDefault="006A3BEC" w:rsidP="006A3BEC">
            <w:pPr>
              <w:autoSpaceDE w:val="0"/>
              <w:autoSpaceDN w:val="0"/>
              <w:adjustRightInd w:val="0"/>
              <w:spacing w:after="0" w:line="240" w:lineRule="auto"/>
              <w:rPr>
                <w:rFonts w:ascii="Times New Roman" w:hAnsi="Times New Roman" w:cs="Times New Roman"/>
                <w:color w:val="000000"/>
                <w:sz w:val="24"/>
                <w:szCs w:val="24"/>
              </w:rPr>
            </w:pPr>
          </w:p>
          <w:p w:rsidR="0033269C" w:rsidRDefault="0033269C">
            <w:pPr>
              <w:pStyle w:val="Default"/>
              <w:rPr>
                <w:sz w:val="23"/>
                <w:szCs w:val="23"/>
              </w:rPr>
            </w:pPr>
          </w:p>
          <w:p w:rsidR="00A863A0" w:rsidRDefault="00A863A0">
            <w:pPr>
              <w:pStyle w:val="Default"/>
              <w:rPr>
                <w:sz w:val="23"/>
                <w:szCs w:val="23"/>
              </w:rPr>
            </w:pPr>
            <w:bookmarkStart w:id="0" w:name="_GoBack"/>
            <w:bookmarkEnd w:id="0"/>
          </w:p>
        </w:tc>
        <w:tc>
          <w:tcPr>
            <w:tcW w:w="5062" w:type="dxa"/>
            <w:gridSpan w:val="2"/>
          </w:tcPr>
          <w:p w:rsidR="0033269C" w:rsidRDefault="0033269C">
            <w:pPr>
              <w:pStyle w:val="Default"/>
              <w:rPr>
                <w:sz w:val="23"/>
                <w:szCs w:val="23"/>
              </w:rPr>
            </w:pPr>
          </w:p>
        </w:tc>
      </w:tr>
      <w:tr w:rsidR="0033269C">
        <w:trPr>
          <w:trHeight w:val="245"/>
        </w:trPr>
        <w:tc>
          <w:tcPr>
            <w:tcW w:w="2531" w:type="dxa"/>
          </w:tcPr>
          <w:p w:rsidR="0033269C" w:rsidRDefault="0033269C">
            <w:pPr>
              <w:pStyle w:val="Default"/>
              <w:rPr>
                <w:sz w:val="23"/>
                <w:szCs w:val="23"/>
              </w:rPr>
            </w:pPr>
          </w:p>
        </w:tc>
        <w:tc>
          <w:tcPr>
            <w:tcW w:w="2531" w:type="dxa"/>
          </w:tcPr>
          <w:p w:rsidR="0033269C" w:rsidRDefault="0033269C">
            <w:pPr>
              <w:pStyle w:val="Default"/>
              <w:rPr>
                <w:sz w:val="23"/>
                <w:szCs w:val="23"/>
              </w:rPr>
            </w:pPr>
          </w:p>
        </w:tc>
        <w:tc>
          <w:tcPr>
            <w:tcW w:w="2531" w:type="dxa"/>
          </w:tcPr>
          <w:p w:rsidR="0033269C" w:rsidRDefault="0033269C">
            <w:pPr>
              <w:pStyle w:val="Default"/>
              <w:rPr>
                <w:sz w:val="23"/>
                <w:szCs w:val="23"/>
              </w:rPr>
            </w:pPr>
          </w:p>
        </w:tc>
        <w:tc>
          <w:tcPr>
            <w:tcW w:w="2531" w:type="dxa"/>
          </w:tcPr>
          <w:p w:rsidR="0033269C" w:rsidRDefault="0033269C">
            <w:pPr>
              <w:pStyle w:val="Default"/>
              <w:rPr>
                <w:sz w:val="23"/>
                <w:szCs w:val="23"/>
              </w:rPr>
            </w:pPr>
          </w:p>
        </w:tc>
      </w:tr>
      <w:tr w:rsidR="0033269C">
        <w:trPr>
          <w:trHeight w:val="1351"/>
        </w:trPr>
        <w:tc>
          <w:tcPr>
            <w:tcW w:w="2531" w:type="dxa"/>
          </w:tcPr>
          <w:p w:rsidR="0033269C" w:rsidRDefault="0033269C">
            <w:pPr>
              <w:pStyle w:val="Default"/>
              <w:rPr>
                <w:sz w:val="23"/>
                <w:szCs w:val="23"/>
              </w:rPr>
            </w:pPr>
          </w:p>
        </w:tc>
        <w:tc>
          <w:tcPr>
            <w:tcW w:w="2531" w:type="dxa"/>
          </w:tcPr>
          <w:p w:rsidR="0033269C" w:rsidRDefault="0033269C">
            <w:pPr>
              <w:pStyle w:val="Default"/>
              <w:rPr>
                <w:sz w:val="23"/>
                <w:szCs w:val="23"/>
              </w:rPr>
            </w:pPr>
          </w:p>
        </w:tc>
        <w:tc>
          <w:tcPr>
            <w:tcW w:w="2531" w:type="dxa"/>
          </w:tcPr>
          <w:p w:rsidR="0033269C" w:rsidRDefault="0033269C" w:rsidP="00137138">
            <w:pPr>
              <w:pStyle w:val="Default"/>
              <w:rPr>
                <w:sz w:val="23"/>
                <w:szCs w:val="23"/>
              </w:rPr>
            </w:pPr>
          </w:p>
        </w:tc>
        <w:tc>
          <w:tcPr>
            <w:tcW w:w="2531" w:type="dxa"/>
          </w:tcPr>
          <w:p w:rsidR="0033269C" w:rsidRDefault="0033269C">
            <w:pPr>
              <w:pStyle w:val="Default"/>
              <w:rPr>
                <w:sz w:val="23"/>
                <w:szCs w:val="23"/>
              </w:rPr>
            </w:pPr>
          </w:p>
        </w:tc>
      </w:tr>
    </w:tbl>
    <w:p w:rsidR="0033269C" w:rsidRDefault="0033269C" w:rsidP="00116355">
      <w:pPr>
        <w:pStyle w:val="Default"/>
        <w:ind w:left="720"/>
      </w:pPr>
    </w:p>
    <w:sectPr w:rsidR="0033269C" w:rsidSect="000C3F3F">
      <w:pgSz w:w="11907" w:h="16840" w:code="9"/>
      <w:pgMar w:top="1417" w:right="1134" w:bottom="1134" w:left="1134" w:header="885"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C7079"/>
    <w:multiLevelType w:val="hybridMultilevel"/>
    <w:tmpl w:val="6FE4F61E"/>
    <w:lvl w:ilvl="0" w:tplc="C90E93FE">
      <w:start w:val="6"/>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806ED9"/>
    <w:multiLevelType w:val="hybridMultilevel"/>
    <w:tmpl w:val="F1B4438C"/>
    <w:lvl w:ilvl="0" w:tplc="3408685C">
      <w:start w:val="1"/>
      <w:numFmt w:val="decimal"/>
      <w:lvlText w:val="%1."/>
      <w:lvlJc w:val="left"/>
      <w:pPr>
        <w:ind w:left="720" w:hanging="360"/>
      </w:pPr>
      <w:rPr>
        <w:rFonts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rawingGridVerticalSpacing w:val="299"/>
  <w:displayHorizontalDrawingGridEvery w:val="2"/>
  <w:characterSpacingControl w:val="doNotCompress"/>
  <w:compat/>
  <w:rsids>
    <w:rsidRoot w:val="000000E7"/>
    <w:rsid w:val="000000E7"/>
    <w:rsid w:val="00024A61"/>
    <w:rsid w:val="00060485"/>
    <w:rsid w:val="00065072"/>
    <w:rsid w:val="000A4564"/>
    <w:rsid w:val="000C3F3F"/>
    <w:rsid w:val="000E41B5"/>
    <w:rsid w:val="000F4517"/>
    <w:rsid w:val="00111D19"/>
    <w:rsid w:val="00116355"/>
    <w:rsid w:val="00121B61"/>
    <w:rsid w:val="00137138"/>
    <w:rsid w:val="00141E53"/>
    <w:rsid w:val="00147FD2"/>
    <w:rsid w:val="00154C74"/>
    <w:rsid w:val="0018079E"/>
    <w:rsid w:val="001B0907"/>
    <w:rsid w:val="001E5F83"/>
    <w:rsid w:val="00221321"/>
    <w:rsid w:val="002256F5"/>
    <w:rsid w:val="00251A3E"/>
    <w:rsid w:val="00281BFD"/>
    <w:rsid w:val="002B6A96"/>
    <w:rsid w:val="0033269C"/>
    <w:rsid w:val="003456AF"/>
    <w:rsid w:val="00354696"/>
    <w:rsid w:val="00365D5A"/>
    <w:rsid w:val="003856C1"/>
    <w:rsid w:val="003958C7"/>
    <w:rsid w:val="003B4A92"/>
    <w:rsid w:val="003C1564"/>
    <w:rsid w:val="003F00AD"/>
    <w:rsid w:val="004065EB"/>
    <w:rsid w:val="00420159"/>
    <w:rsid w:val="004260DC"/>
    <w:rsid w:val="00450D53"/>
    <w:rsid w:val="00463798"/>
    <w:rsid w:val="00481055"/>
    <w:rsid w:val="0049467D"/>
    <w:rsid w:val="00494A06"/>
    <w:rsid w:val="004C0400"/>
    <w:rsid w:val="0050783D"/>
    <w:rsid w:val="0056133F"/>
    <w:rsid w:val="00586C0E"/>
    <w:rsid w:val="005A58A8"/>
    <w:rsid w:val="00653BBA"/>
    <w:rsid w:val="006574BB"/>
    <w:rsid w:val="0066458A"/>
    <w:rsid w:val="00664BDC"/>
    <w:rsid w:val="006A3BEC"/>
    <w:rsid w:val="006A526E"/>
    <w:rsid w:val="006B1BFF"/>
    <w:rsid w:val="006F7135"/>
    <w:rsid w:val="00707E7B"/>
    <w:rsid w:val="007B7A19"/>
    <w:rsid w:val="007C3073"/>
    <w:rsid w:val="007C4AB9"/>
    <w:rsid w:val="007D30BD"/>
    <w:rsid w:val="00832AAA"/>
    <w:rsid w:val="00845E9B"/>
    <w:rsid w:val="00852D54"/>
    <w:rsid w:val="008703BA"/>
    <w:rsid w:val="00892661"/>
    <w:rsid w:val="008A64DE"/>
    <w:rsid w:val="008B1622"/>
    <w:rsid w:val="00951AAC"/>
    <w:rsid w:val="00954263"/>
    <w:rsid w:val="00970F38"/>
    <w:rsid w:val="009723B4"/>
    <w:rsid w:val="009A39F1"/>
    <w:rsid w:val="00A00133"/>
    <w:rsid w:val="00A8122E"/>
    <w:rsid w:val="00A863A0"/>
    <w:rsid w:val="00B0223D"/>
    <w:rsid w:val="00B33658"/>
    <w:rsid w:val="00B35B74"/>
    <w:rsid w:val="00B47C84"/>
    <w:rsid w:val="00B509FF"/>
    <w:rsid w:val="00B6531C"/>
    <w:rsid w:val="00BD4220"/>
    <w:rsid w:val="00BE4863"/>
    <w:rsid w:val="00C20EB8"/>
    <w:rsid w:val="00C26C9F"/>
    <w:rsid w:val="00C4177D"/>
    <w:rsid w:val="00C45853"/>
    <w:rsid w:val="00C511A3"/>
    <w:rsid w:val="00C52924"/>
    <w:rsid w:val="00C87C87"/>
    <w:rsid w:val="00C93CE3"/>
    <w:rsid w:val="00CC3814"/>
    <w:rsid w:val="00CE10AB"/>
    <w:rsid w:val="00CF6AB6"/>
    <w:rsid w:val="00D07E90"/>
    <w:rsid w:val="00D11246"/>
    <w:rsid w:val="00D238F1"/>
    <w:rsid w:val="00D4666A"/>
    <w:rsid w:val="00D60417"/>
    <w:rsid w:val="00D82EA0"/>
    <w:rsid w:val="00D862D2"/>
    <w:rsid w:val="00D94F58"/>
    <w:rsid w:val="00DA1C77"/>
    <w:rsid w:val="00DD5776"/>
    <w:rsid w:val="00DE66E5"/>
    <w:rsid w:val="00E2228C"/>
    <w:rsid w:val="00E5119A"/>
    <w:rsid w:val="00E832FC"/>
    <w:rsid w:val="00E95D27"/>
    <w:rsid w:val="00EB2957"/>
    <w:rsid w:val="00F0344E"/>
    <w:rsid w:val="00F15416"/>
    <w:rsid w:val="00F40656"/>
    <w:rsid w:val="00F42E60"/>
    <w:rsid w:val="00F6131A"/>
    <w:rsid w:val="00FA2EE6"/>
    <w:rsid w:val="00FD2799"/>
    <w:rsid w:val="00FF1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3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00E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332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C4AB9"/>
    <w:pPr>
      <w:ind w:left="720"/>
      <w:contextualSpacing/>
    </w:pPr>
  </w:style>
  <w:style w:type="paragraph" w:styleId="Testofumetto">
    <w:name w:val="Balloon Text"/>
    <w:basedOn w:val="Normale"/>
    <w:link w:val="TestofumettoCarattere"/>
    <w:uiPriority w:val="99"/>
    <w:semiHidden/>
    <w:unhideWhenUsed/>
    <w:rsid w:val="000C3F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00E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33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4AB9"/>
    <w:pPr>
      <w:ind w:left="720"/>
      <w:contextualSpacing/>
    </w:pPr>
  </w:style>
  <w:style w:type="paragraph" w:styleId="Testofumetto">
    <w:name w:val="Balloon Text"/>
    <w:basedOn w:val="Normale"/>
    <w:link w:val="TestofumettoCarattere"/>
    <w:uiPriority w:val="99"/>
    <w:semiHidden/>
    <w:unhideWhenUsed/>
    <w:rsid w:val="000C3F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3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E4DA9-6110-4748-8D26-92E745FB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2405</Words>
  <Characters>13712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farmacia</dc:creator>
  <cp:lastModifiedBy>Utente</cp:lastModifiedBy>
  <cp:revision>4</cp:revision>
  <cp:lastPrinted>2019-01-23T18:21:00Z</cp:lastPrinted>
  <dcterms:created xsi:type="dcterms:W3CDTF">2021-05-28T06:59:00Z</dcterms:created>
  <dcterms:modified xsi:type="dcterms:W3CDTF">2021-05-28T07:20:00Z</dcterms:modified>
</cp:coreProperties>
</file>